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5AE6" w14:textId="61FBF5F4" w:rsidR="00885C60" w:rsidRPr="00471AF8" w:rsidRDefault="00471AF8" w:rsidP="00471AF8">
      <w:pPr>
        <w:tabs>
          <w:tab w:val="left" w:pos="8475"/>
        </w:tabs>
        <w:spacing w:after="850"/>
        <w:ind w:left="0"/>
        <w:rPr>
          <w:rFonts w:eastAsia="Play" w:cs="Play"/>
          <w:b/>
          <w:sz w:val="32"/>
          <w:szCs w:val="32"/>
        </w:rPr>
      </w:pPr>
      <w:r w:rsidRPr="00471AF8">
        <w:rPr>
          <w:noProof/>
        </w:rPr>
        <w:drawing>
          <wp:anchor distT="0" distB="0" distL="0" distR="0" simplePos="0" relativeHeight="251658240" behindDoc="1" locked="0" layoutInCell="1" hidden="0" allowOverlap="1" wp14:anchorId="463F9CA5" wp14:editId="576D7840">
            <wp:simplePos x="0" y="0"/>
            <wp:positionH relativeFrom="column">
              <wp:posOffset>3699510</wp:posOffset>
            </wp:positionH>
            <wp:positionV relativeFrom="paragraph">
              <wp:posOffset>-114866</wp:posOffset>
            </wp:positionV>
            <wp:extent cx="2513330" cy="1528376"/>
            <wp:effectExtent l="0" t="0" r="1270" b="0"/>
            <wp:wrapNone/>
            <wp:docPr id="4" name="image2.png" descr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9"/>
                    <pic:cNvPicPr preferRelativeResize="0"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b="3108"/>
                    <a:stretch/>
                  </pic:blipFill>
                  <pic:spPr bwMode="auto">
                    <a:xfrm>
                      <a:off x="0" y="0"/>
                      <a:ext cx="2513330" cy="152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471AF8">
        <w:rPr>
          <w:rFonts w:eastAsia="Play" w:cs="Play"/>
          <w:b/>
          <w:noProof/>
          <w:sz w:val="32"/>
          <w:szCs w:val="32"/>
        </w:rPr>
        <w:drawing>
          <wp:inline distT="0" distB="0" distL="0" distR="0" wp14:anchorId="4BFA484F" wp14:editId="10D84E6B">
            <wp:extent cx="1028195" cy="41616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Play" w:cs="Play"/>
          <w:b/>
          <w:sz w:val="32"/>
          <w:szCs w:val="32"/>
        </w:rPr>
        <w:tab/>
      </w:r>
    </w:p>
    <w:p w14:paraId="1C400F62" w14:textId="466422AC" w:rsidR="00885C60" w:rsidRPr="00471AF8" w:rsidRDefault="00000000" w:rsidP="00471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980"/>
          <w:tab w:val="right" w:pos="9638"/>
        </w:tabs>
        <w:ind w:left="0"/>
        <w:rPr>
          <w:rFonts w:eastAsia="Play" w:cs="Play"/>
          <w:b/>
          <w:sz w:val="44"/>
          <w:szCs w:val="44"/>
        </w:rPr>
      </w:pPr>
      <w:r w:rsidRPr="00471AF8">
        <w:rPr>
          <w:rFonts w:eastAsia="Play" w:cs="Play"/>
          <w:b/>
          <w:sz w:val="44"/>
          <w:szCs w:val="44"/>
        </w:rPr>
        <w:t>Město Humpolec</w:t>
      </w:r>
      <w:r w:rsidR="00471AF8">
        <w:rPr>
          <w:rFonts w:eastAsia="Play" w:cs="Play"/>
          <w:b/>
          <w:sz w:val="44"/>
          <w:szCs w:val="44"/>
        </w:rPr>
        <w:tab/>
      </w:r>
      <w:r w:rsidR="00471AF8">
        <w:rPr>
          <w:rFonts w:eastAsia="Play" w:cs="Play"/>
          <w:b/>
          <w:sz w:val="44"/>
          <w:szCs w:val="44"/>
        </w:rPr>
        <w:tab/>
      </w:r>
    </w:p>
    <w:p w14:paraId="609AF6AB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33F5F6AF" w14:textId="7B82EBC4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 xml:space="preserve">na základě usnesení Zastupitelstva města Humpolec č. </w:t>
      </w:r>
      <w:r w:rsidR="0006191E" w:rsidRPr="0006191E">
        <w:rPr>
          <w:highlight w:val="yellow"/>
        </w:rPr>
        <w:t>???</w:t>
      </w:r>
      <w:r w:rsidRPr="00471AF8">
        <w:t>/</w:t>
      </w:r>
      <w:r w:rsidR="0006191E">
        <w:t>6</w:t>
      </w:r>
      <w:r w:rsidRPr="00471AF8">
        <w:t>/ZM/202</w:t>
      </w:r>
      <w:r w:rsidR="0006191E">
        <w:t>3</w:t>
      </w:r>
      <w:r w:rsidRPr="00471AF8">
        <w:t xml:space="preserve"> z </w:t>
      </w:r>
      <w:r w:rsidR="0006191E">
        <w:t>6</w:t>
      </w:r>
      <w:r w:rsidRPr="00471AF8">
        <w:t xml:space="preserve">. zasedání dne </w:t>
      </w:r>
      <w:r w:rsidR="0006191E">
        <w:t>2</w:t>
      </w:r>
      <w:r w:rsidR="00D15A3E">
        <w:t>7</w:t>
      </w:r>
      <w:r w:rsidRPr="00471AF8">
        <w:t xml:space="preserve">. </w:t>
      </w:r>
      <w:r w:rsidR="00D15A3E">
        <w:t>9</w:t>
      </w:r>
      <w:r w:rsidRPr="00471AF8">
        <w:t>. 202</w:t>
      </w:r>
      <w:r w:rsidR="0006191E">
        <w:t>3</w:t>
      </w:r>
      <w:r w:rsidRPr="00471AF8">
        <w:t xml:space="preserve"> </w:t>
      </w:r>
    </w:p>
    <w:p w14:paraId="7E055503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schvaluje</w:t>
      </w:r>
    </w:p>
    <w:p w14:paraId="2D9B5232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3AAD169D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Pravidla pro vyhodnocení žádostí a poskytování dotací z rozpočtu Města Humpolec</w:t>
      </w:r>
    </w:p>
    <w:p w14:paraId="1D4965B2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1F6A00C" w14:textId="77777777" w:rsidR="0006191E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grantového řízení</w:t>
      </w:r>
    </w:p>
    <w:p w14:paraId="5AB5F556" w14:textId="77777777" w:rsidR="0006191E" w:rsidRDefault="0006191E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3CF1D48" w14:textId="6AEE082E" w:rsidR="0006191E" w:rsidRPr="00471AF8" w:rsidRDefault="0006191E">
      <w:pPr>
        <w:pBdr>
          <w:top w:val="nil"/>
          <w:left w:val="nil"/>
          <w:bottom w:val="nil"/>
          <w:right w:val="nil"/>
          <w:between w:val="nil"/>
        </w:pBdr>
        <w:ind w:left="0"/>
        <w:sectPr w:rsidR="0006191E" w:rsidRPr="00471AF8">
          <w:footerReference w:type="default" r:id="rId11"/>
          <w:pgSz w:w="11906" w:h="16838"/>
          <w:pgMar w:top="1134" w:right="1134" w:bottom="1134" w:left="1134" w:header="708" w:footer="708" w:gutter="0"/>
          <w:pgNumType w:start="1"/>
          <w:cols w:space="708"/>
        </w:sectPr>
      </w:pPr>
    </w:p>
    <w:p w14:paraId="5BA30ECC" w14:textId="0C8FB009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„Fasády historických objektů 202</w:t>
      </w:r>
      <w:r w:rsidR="0006191E">
        <w:rPr>
          <w:rFonts w:eastAsia="Play" w:cs="Play"/>
          <w:b/>
          <w:sz w:val="32"/>
          <w:szCs w:val="32"/>
        </w:rPr>
        <w:t>4</w:t>
      </w:r>
      <w:r w:rsidRPr="00471AF8">
        <w:rPr>
          <w:rFonts w:eastAsia="Play" w:cs="Play"/>
          <w:b/>
          <w:sz w:val="32"/>
          <w:szCs w:val="32"/>
        </w:rPr>
        <w:t>“</w:t>
      </w:r>
    </w:p>
    <w:p w14:paraId="7BD14DB0" w14:textId="279E4642" w:rsidR="0006191E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na poskytování příspěvků z rozpočtu Města Humpolec pro rok 202</w:t>
      </w:r>
      <w:r w:rsidR="0006191E">
        <w:t>4</w:t>
      </w:r>
    </w:p>
    <w:p w14:paraId="0186C191" w14:textId="77777777" w:rsidR="0006191E" w:rsidRPr="00471AF8" w:rsidRDefault="0006191E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5937227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</w:pPr>
      <w:r w:rsidRPr="00471AF8">
        <w:t>(dále jen „Pravidla“)</w:t>
      </w:r>
    </w:p>
    <w:p w14:paraId="748F12DD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2FD39A2D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5"/>
        <w:rPr>
          <w:rFonts w:eastAsia="Play" w:cs="Play"/>
          <w:b/>
          <w:sz w:val="32"/>
          <w:szCs w:val="32"/>
        </w:rPr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71AF8">
        <w:rPr>
          <w:rFonts w:eastAsia="Play" w:cs="Play"/>
          <w:b/>
          <w:sz w:val="32"/>
          <w:szCs w:val="32"/>
        </w:rPr>
        <w:t xml:space="preserve">Článek I. </w:t>
      </w:r>
      <w:r w:rsidRPr="00471AF8">
        <w:rPr>
          <w:rFonts w:eastAsia="Play" w:cs="Play"/>
          <w:b/>
          <w:sz w:val="32"/>
          <w:szCs w:val="32"/>
        </w:rPr>
        <w:tab/>
        <w:t>Základní ustanovení</w:t>
      </w:r>
    </w:p>
    <w:p w14:paraId="63CE8DC8" w14:textId="77777777" w:rsidR="00885C60" w:rsidRPr="00471AF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Účelem těchto Pravidel je stanovit jednotný postup při poskytování dotací </w:t>
      </w:r>
      <w:r w:rsidRPr="00471AF8">
        <w:br/>
        <w:t>z rozpočtu města Humpolec ve smyslu podpory obnovy fasád objektů v obci.</w:t>
      </w:r>
    </w:p>
    <w:p w14:paraId="06221EE8" w14:textId="77777777" w:rsidR="00885C60" w:rsidRPr="00471AF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Poskytování dotací se řídí obecně závaznými předpisy (zákon č. 128/2000 Sb., o obcích, zákon č. 250/2000 Sb., o rozpočtových pravidlech územních rozpočtu, zákon č. 320/2001 Sb., o finanční kontrole ve veřejné správě) </w:t>
      </w:r>
      <w:r w:rsidRPr="00471AF8">
        <w:br/>
        <w:t>a rozhodnutími Zastupitelstva města Humpolec.</w:t>
      </w:r>
    </w:p>
    <w:p w14:paraId="66085750" w14:textId="12C62AA9" w:rsidR="00885C60" w:rsidRPr="00471AF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 xml:space="preserve">Zastupitelstvo města Humpolec ukládá vytvoření předpokládaného celkového objemu finančních prostředků na poskytování dotací ve </w:t>
      </w:r>
      <w:r w:rsidRPr="0006191E">
        <w:t xml:space="preserve">výši </w:t>
      </w:r>
      <w:r w:rsidR="0006191E" w:rsidRPr="0006191E">
        <w:t>1 0</w:t>
      </w:r>
      <w:r w:rsidRPr="0006191E">
        <w:t>00 000 Kč.</w:t>
      </w:r>
    </w:p>
    <w:p w14:paraId="690A7845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71AF8">
        <w:rPr>
          <w:rFonts w:eastAsia="Play" w:cs="Play"/>
          <w:b/>
          <w:sz w:val="32"/>
          <w:szCs w:val="32"/>
        </w:rPr>
        <w:t>Článek II.</w:t>
      </w:r>
      <w:r w:rsidRPr="00471AF8">
        <w:rPr>
          <w:rFonts w:eastAsia="Play" w:cs="Play"/>
          <w:b/>
          <w:sz w:val="32"/>
          <w:szCs w:val="32"/>
        </w:rPr>
        <w:tab/>
        <w:t>Obecně závazná pravidla</w:t>
      </w:r>
    </w:p>
    <w:p w14:paraId="51B4D199" w14:textId="77777777" w:rsidR="00885C60" w:rsidRPr="00471AF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Dotaci lze poskytnout právnické i fyzické osobě, která nemá ke dni podání žádosti splatné závazky po splatnosti vůči státu, územním samosprávným celkům a zdravotním pojišťovnám a nebylo proti ní zahájeno insolvenční řízení.</w:t>
      </w:r>
    </w:p>
    <w:p w14:paraId="20D9AEF4" w14:textId="77777777" w:rsidR="00885C60" w:rsidRPr="00471AF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bookmarkStart w:id="0" w:name="_heading=h.gjdgxs" w:colFirst="0" w:colLast="0"/>
      <w:bookmarkEnd w:id="0"/>
      <w:r w:rsidRPr="00471AF8">
        <w:t>Lze připustit, aby o dotaci města Humpolec žádali i fyzické a právnické osoby se sídlem jiným než Humpolec, ovšem jen v tom případě, že jejich činnost prokazatelně zasahuje území města Humpolec či jeho obyvatele.</w:t>
      </w:r>
    </w:p>
    <w:p w14:paraId="5A198E59" w14:textId="77777777" w:rsidR="00885C60" w:rsidRPr="00471AF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Dotace se podává na základě Žádosti o poskytnutí dotace z rozpočtu města Humpolec (dále jen „Žádost“), a to prostřednictvím standardizovaného formuláře.</w:t>
      </w:r>
    </w:p>
    <w:p w14:paraId="2176BFA8" w14:textId="77777777" w:rsidR="00885C60" w:rsidRPr="00471AF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Dotace se poskytuje na základě usnesení Zastupitelstva města Humpolec </w:t>
      </w:r>
      <w:r w:rsidRPr="00471AF8">
        <w:br/>
        <w:t>o poskytnutí příspěvků z daného grantového programu a uzavřené Veřejnoprávní smlouvy o poskytnutí dotace z rozpočtu města Humpolec (dále jen „Veřejnoprávní smlouva“).</w:t>
      </w:r>
    </w:p>
    <w:p w14:paraId="63A342E8" w14:textId="77777777" w:rsidR="00885C60" w:rsidRPr="00471AF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Poskytnutou dotaci lze použít v rámci kalendářního roku a výhradně na účel, na který byla poskytnuta.</w:t>
      </w:r>
    </w:p>
    <w:p w14:paraId="094AA4F0" w14:textId="77777777" w:rsidR="00885C60" w:rsidRPr="00471AF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 xml:space="preserve">Dotace se poskytuje bezhotovostním převodem na bankovní účet příjemce dotace zpětně po dokončení realizace projektu, a vyhodnocení celkové realizace grantovou komisí na základě předložené úplné závěrečné zprávy </w:t>
      </w:r>
      <w:r w:rsidRPr="00471AF8">
        <w:br/>
        <w:t>a vyúčtování projektu.</w:t>
      </w:r>
    </w:p>
    <w:p w14:paraId="0FA638D2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lastRenderedPageBreak/>
        <w:t>Článek III.</w:t>
      </w:r>
      <w:r w:rsidRPr="00471AF8">
        <w:rPr>
          <w:rFonts w:eastAsia="Play" w:cs="Play"/>
          <w:b/>
          <w:sz w:val="32"/>
          <w:szCs w:val="32"/>
        </w:rPr>
        <w:tab/>
        <w:t>Oblasti a účel poskytnutí dotace</w:t>
      </w:r>
    </w:p>
    <w:p w14:paraId="76DE9B84" w14:textId="2D2F1CA7" w:rsidR="00885C60" w:rsidRPr="00471AF8" w:rsidRDefault="00000000">
      <w:pPr>
        <w:ind w:left="2267"/>
      </w:pPr>
      <w:r w:rsidRPr="00471AF8">
        <w:t>Obec poskytuje ze svého rozpočtu finanční prostředky za účelem podpory projektů na obnovu fasád historických objektů ve městě Humpolec</w:t>
      </w:r>
      <w:r w:rsidR="0006191E">
        <w:t>.</w:t>
      </w:r>
    </w:p>
    <w:p w14:paraId="5500FEE1" w14:textId="77777777" w:rsidR="00885C60" w:rsidRPr="00471AF8" w:rsidRDefault="00885C60">
      <w:pPr>
        <w:ind w:left="2267"/>
      </w:pPr>
    </w:p>
    <w:p w14:paraId="223ED52F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IV.</w:t>
      </w:r>
      <w:r w:rsidRPr="00471AF8">
        <w:rPr>
          <w:rFonts w:eastAsia="Play" w:cs="Play"/>
          <w:b/>
          <w:sz w:val="32"/>
          <w:szCs w:val="32"/>
        </w:rPr>
        <w:tab/>
        <w:t>Postup při poskytování dotace</w:t>
      </w:r>
    </w:p>
    <w:p w14:paraId="5F851E93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o dotaci z rozpočtu města Humpolec zpracovanou v souladu s těmito Pravidly je nutné podat v písemné podobě (osobním doručením, datovou schránkou, případně poštou).</w:t>
      </w:r>
    </w:p>
    <w:p w14:paraId="10F2D794" w14:textId="6C43820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Termín pro podávání žádostí je stanoven od 3. 2. 202</w:t>
      </w:r>
      <w:r w:rsidR="0006191E">
        <w:t>4</w:t>
      </w:r>
      <w:r w:rsidRPr="00471AF8">
        <w:t xml:space="preserve"> do 13. 3. 202</w:t>
      </w:r>
      <w:r w:rsidR="0006191E">
        <w:t>4</w:t>
      </w:r>
      <w:r w:rsidRPr="00471AF8">
        <w:t>.</w:t>
      </w:r>
    </w:p>
    <w:p w14:paraId="4F450B00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Nedodržení termínu podání žádosti je důvodem pro vyřazení žádosti z dotačního řízení.</w:t>
      </w:r>
    </w:p>
    <w:p w14:paraId="26C3EEB8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o dotace v jiném než uvedeném termínu nelze podávat.</w:t>
      </w:r>
    </w:p>
    <w:p w14:paraId="45A9DC04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Žádost se podává vždy na předepsaném formuláři. Formulář žádosti je </w:t>
      </w:r>
      <w:r w:rsidRPr="00471AF8">
        <w:br/>
        <w:t>k dispozici na internetových stránkách města nebo na městském úřadě.</w:t>
      </w:r>
    </w:p>
    <w:p w14:paraId="206A50C2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Žadatel může podat více žádostí v rámci dotačního řízení.</w:t>
      </w:r>
    </w:p>
    <w:p w14:paraId="29A8EB02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Specifika povinných náležitostí. Žádosti:</w:t>
      </w:r>
    </w:p>
    <w:p w14:paraId="504C7EF9" w14:textId="212C245D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případě výměny vnějších výplní otvorů žadatel předloží jejich výkresy v měřítku 1:20 včetně návrhu barevnosti a výkresy profilace zdobných prvků v měřítku 1:5.</w:t>
      </w:r>
      <w:r w:rsidR="0006191E">
        <w:t xml:space="preserve"> </w:t>
      </w:r>
      <w:r w:rsidR="0006191E" w:rsidRPr="00B354CF">
        <w:rPr>
          <w:highlight w:val="red"/>
        </w:rPr>
        <w:t xml:space="preserve">Pokud </w:t>
      </w:r>
      <w:r w:rsidR="0006191E">
        <w:rPr>
          <w:highlight w:val="red"/>
        </w:rPr>
        <w:t xml:space="preserve">plánované </w:t>
      </w:r>
      <w:r w:rsidR="0006191E" w:rsidRPr="00B354CF">
        <w:rPr>
          <w:highlight w:val="red"/>
        </w:rPr>
        <w:t>stavební úpravy zahrnují pouze obnovu nátěrů</w:t>
      </w:r>
      <w:r w:rsidR="0006191E">
        <w:rPr>
          <w:highlight w:val="red"/>
        </w:rPr>
        <w:t>, tedy</w:t>
      </w:r>
      <w:r w:rsidR="0006191E" w:rsidRPr="00B354CF">
        <w:rPr>
          <w:highlight w:val="red"/>
        </w:rPr>
        <w:t xml:space="preserve"> veškeré prvky se zachovávají </w:t>
      </w:r>
      <w:r w:rsidR="0006191E">
        <w:rPr>
          <w:highlight w:val="red"/>
        </w:rPr>
        <w:t>současné</w:t>
      </w:r>
      <w:r w:rsidR="0006191E" w:rsidRPr="00B354CF">
        <w:rPr>
          <w:highlight w:val="red"/>
        </w:rPr>
        <w:t>, není nutné předkládat výkresovou dokumentac</w:t>
      </w:r>
      <w:r w:rsidR="0006191E">
        <w:rPr>
          <w:highlight w:val="red"/>
        </w:rPr>
        <w:t>i ale pouz</w:t>
      </w:r>
      <w:r w:rsidR="0006191E" w:rsidRPr="009117F8">
        <w:rPr>
          <w:highlight w:val="red"/>
        </w:rPr>
        <w:t>e návrh barevnosti prostřednictvím konkrétních odstínů dle vzorníků.</w:t>
      </w:r>
      <w:r w:rsidRPr="00471AF8">
        <w:t xml:space="preserve">   </w:t>
      </w:r>
    </w:p>
    <w:p w14:paraId="21AFE8BB" w14:textId="683CC8DF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Doporučující stanovisko </w:t>
      </w:r>
      <w:r w:rsidR="0006191E" w:rsidRPr="0006191E">
        <w:rPr>
          <w:highlight w:val="red"/>
        </w:rPr>
        <w:t>městského architekta</w:t>
      </w:r>
    </w:p>
    <w:p w14:paraId="74801257" w14:textId="77777777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Ověřený doklad o vlastnictví nebo spoluvlastnictví pozemků či objektů, kterých se akce týká (výpis z katastru nemovitostí </w:t>
      </w:r>
      <w:r w:rsidRPr="00471AF8">
        <w:br/>
        <w:t xml:space="preserve">a snímek pozemkové mapy s vyznačením nemovitostí). V případě více spoluvlastníků též zplnomocnění k zastupování a získání příspěvku. </w:t>
      </w:r>
    </w:p>
    <w:p w14:paraId="704C8D96" w14:textId="77777777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Kopie dokladu o založení běžného účtu žadatele</w:t>
      </w:r>
    </w:p>
    <w:p w14:paraId="43E0A89B" w14:textId="77777777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Kopie dokladu o právní subjektivitě žadatele</w:t>
      </w:r>
    </w:p>
    <w:p w14:paraId="1CB1188E" w14:textId="77777777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Položkový rozpočet nákladů či nabídková cena na realizaci prací </w:t>
      </w:r>
      <w:r w:rsidRPr="00471AF8">
        <w:br/>
        <w:t>s výkazem výměr</w:t>
      </w:r>
    </w:p>
    <w:p w14:paraId="5107B5AF" w14:textId="77777777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Čestné prohlášení žadatele, že </w:t>
      </w:r>
    </w:p>
    <w:p w14:paraId="2FD1D9F6" w14:textId="77777777" w:rsidR="00885C60" w:rsidRPr="00471AF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má zajištěny finanční prostředky, kterými se na projektu bude podílet;</w:t>
      </w:r>
    </w:p>
    <w:p w14:paraId="20A36E9D" w14:textId="77777777" w:rsidR="00885C60" w:rsidRPr="00471AF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na majetek firmy není vyhlášen konkurz nebo podán návrh na konkurz a společnost není v likvidaci</w:t>
      </w:r>
    </w:p>
    <w:p w14:paraId="38D73203" w14:textId="77777777" w:rsidR="00885C60" w:rsidRPr="00471AF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souhlasí se zveřejněním svého jména (obchodního jména), adresy (sídla), názvu projektu a výše přidělené podpory na internetových stránkách Města Humpolec</w:t>
      </w:r>
    </w:p>
    <w:p w14:paraId="32A660AD" w14:textId="77777777" w:rsidR="00885C60" w:rsidRPr="00471AF8" w:rsidRDefault="00000000">
      <w:pPr>
        <w:ind w:left="2834"/>
        <w:rPr>
          <w:b/>
        </w:rPr>
      </w:pPr>
      <w:r w:rsidRPr="00471AF8">
        <w:rPr>
          <w:b/>
        </w:rPr>
        <w:t>V případě přiznání příspěvku doloží žadatel před podpisem smlouvy o poskytnutí podpory, ve lhůtě a rozsahu, která mu bude stanovena, tyto doklady:</w:t>
      </w:r>
    </w:p>
    <w:p w14:paraId="33D7A08B" w14:textId="77777777" w:rsidR="00885C60" w:rsidRPr="00471A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Pravomocné povolení stavebního úřadu či souhlasné sdělení k ohlášení udržovacích prací ve vztahu k záměru žádosti ve smyslu zákona č. 50/1976 Sb., o územním plánování a stavebním řádu (stavební zákon), ve znění pozdějších předpisů.</w:t>
      </w:r>
    </w:p>
    <w:p w14:paraId="7236CA36" w14:textId="77777777" w:rsidR="00885C60" w:rsidRPr="00471A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401" w:hanging="570"/>
      </w:pPr>
      <w:r w:rsidRPr="00471AF8">
        <w:t>U památkově chráněných objektů pravomocné závazné stanovisko dle zák.č.20/1987 Sb., o státní památkové péči, ve znění pozdějších předpisů.</w:t>
      </w:r>
    </w:p>
    <w:p w14:paraId="3AF87207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se považuje za úplnou, je-li řádně vyplněna a obsahuje požadované náležitosti. Žádost bude vyřazena:</w:t>
      </w:r>
    </w:p>
    <w:p w14:paraId="683B4C7C" w14:textId="77777777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lastRenderedPageBreak/>
        <w:t>pokud nebude úplná a žadatel ji na ústní nebo písemnou výzvu nedoplní ve lhůtě do 14 dnů,</w:t>
      </w:r>
    </w:p>
    <w:p w14:paraId="45F21800" w14:textId="77777777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pokud bude doručena jiným způsobem (např. faxem), na jinou adresu, nebo po stanoveném termínu,</w:t>
      </w:r>
    </w:p>
    <w:p w14:paraId="738F8180" w14:textId="77777777" w:rsidR="00885C60" w:rsidRPr="00471AF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nebude-li mít žadatel vyrovnané závazky vůči městu.</w:t>
      </w:r>
    </w:p>
    <w:p w14:paraId="636812F8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Dojde-li po podání žádosti ke změnám týkajícím se identifikačních údajů žadatele, právní subjektivity žadatel, statutárního orgánu žadatele a jiné, musí být taková změna poskytovateli písemně oznámena a doložena.</w:t>
      </w:r>
    </w:p>
    <w:p w14:paraId="2AAC9D85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jsou v první fázi vyhodnoceny příslušnou grantovou komisí, ustanovenou pro tento grantový program, z hlediska splnění podmínek pro přijetí Žádosti a jejich formální správnosti. Grantová komise vyhotoví zápis o průběhu dotačního řízení, navrhne výši přidělených dotací. Následně budou žádosti předloženy k projednání na nejbližší zasedání zastupitelstva města Humpolec.</w:t>
      </w:r>
    </w:p>
    <w:p w14:paraId="3B23C099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je veřejnou listinou, která se archivuje. Žadatelům se doložené listiny nevracejí. S osobními údaji je nakládáno v souladu se zákonem č. 101/2000 Sb., o ochraně osobních údajů.</w:t>
      </w:r>
    </w:p>
    <w:p w14:paraId="65A079C8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jsou dále obsahově posuzovány a schvalovány zastupitelstvem města, které přitom v souladu s účelem poskytování dotací dle těchto Pravidel bere zřetel zejména na:</w:t>
      </w:r>
    </w:p>
    <w:p w14:paraId="586CE371" w14:textId="77777777" w:rsidR="00885C60" w:rsidRPr="00471A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zhodnocení již poskytnuté dotační podpory,</w:t>
      </w:r>
    </w:p>
    <w:p w14:paraId="645E5491" w14:textId="77777777" w:rsidR="00885C60" w:rsidRPr="00471A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zhodnocení společenské potřebnosti a předpokládaného přínosu projektu/akce/činnosti.</w:t>
      </w:r>
    </w:p>
    <w:p w14:paraId="11DF3BCF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Seznam poskytnutých dotací je bez zbytečného odkladu po veřejném schválení Zastupitelstvem města zveřejněn na internetových stránkách města. Všichni žadatelé jsou o výsledku dotačního řízením písemně nebo ústně vyrozuměni.</w:t>
      </w:r>
    </w:p>
    <w:p w14:paraId="3C0634B7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Na základě rozhodnutí zastupitelstva města uzavře město s příjemcem dotace Veřejnoprávní smlouvu. K podpisu Veřejnoprávní smlouvy </w:t>
      </w:r>
      <w:r w:rsidRPr="00471AF8">
        <w:br/>
        <w:t>o poskytnuté dotaci bude příjemce vyzván. Vypracováním těchto smluv je pověřen Odbor životního prostředí a památkové péče Městského úřadu Humpolec.</w:t>
      </w:r>
    </w:p>
    <w:p w14:paraId="55211304" w14:textId="77777777" w:rsidR="00885C60" w:rsidRPr="00471AF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>Příjemce účtuje poskytnutou dotaci podle platných právních předpisů České republiky.</w:t>
      </w:r>
    </w:p>
    <w:p w14:paraId="70E365AE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bookmarkStart w:id="1" w:name="_heading=h.30j0zll" w:colFirst="0" w:colLast="0"/>
      <w:bookmarkEnd w:id="1"/>
      <w:r w:rsidRPr="00471AF8">
        <w:rPr>
          <w:rFonts w:eastAsia="Play" w:cs="Play"/>
          <w:b/>
          <w:sz w:val="32"/>
          <w:szCs w:val="32"/>
        </w:rPr>
        <w:t>Článek V.</w:t>
      </w:r>
      <w:r w:rsidRPr="00471AF8">
        <w:rPr>
          <w:rFonts w:eastAsia="Play" w:cs="Play"/>
          <w:b/>
          <w:sz w:val="32"/>
          <w:szCs w:val="32"/>
        </w:rPr>
        <w:tab/>
        <w:t>Veřejnoprávní smlouva o poskytnutí dotace</w:t>
      </w:r>
    </w:p>
    <w:p w14:paraId="5EC0AD42" w14:textId="77777777" w:rsidR="00885C60" w:rsidRPr="00471AF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Veřejnoprávní smlouva musí zejména obsahovat:</w:t>
      </w:r>
    </w:p>
    <w:p w14:paraId="20C3B04B" w14:textId="77777777" w:rsidR="00885C60" w:rsidRPr="00471AF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označení poskytovatele,</w:t>
      </w:r>
    </w:p>
    <w:p w14:paraId="0E4EF5A1" w14:textId="77777777" w:rsidR="00885C60" w:rsidRPr="00471AF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označení příjemce (např. fyzická osoba a datum narození, podnikatel a IČ, spolek, sdružení a IČ),</w:t>
      </w:r>
    </w:p>
    <w:p w14:paraId="0631E6CD" w14:textId="77777777" w:rsidR="00885C60" w:rsidRPr="00471AF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bankovní spojení příjemce i poskytovatele,</w:t>
      </w:r>
    </w:p>
    <w:p w14:paraId="436FFA9F" w14:textId="77777777" w:rsidR="00885C60" w:rsidRPr="00471AF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účel, na který je dotace poskytována,</w:t>
      </w:r>
    </w:p>
    <w:p w14:paraId="39EE8FC9" w14:textId="77777777" w:rsidR="00885C60" w:rsidRPr="00471AF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výši dotace,</w:t>
      </w:r>
    </w:p>
    <w:p w14:paraId="100EECB0" w14:textId="77777777" w:rsidR="00885C60" w:rsidRPr="00471AF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dobu, v níž má být dosaženo účelu, </w:t>
      </w:r>
    </w:p>
    <w:p w14:paraId="279AC72C" w14:textId="77777777" w:rsidR="00885C60" w:rsidRPr="00471AF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ujednání o povinnostech příjemce,</w:t>
      </w:r>
    </w:p>
    <w:p w14:paraId="77D7B567" w14:textId="77777777" w:rsidR="00885C60" w:rsidRPr="00471AF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ujednání o povinnostech poskytovatele.</w:t>
      </w:r>
    </w:p>
    <w:p w14:paraId="29572921" w14:textId="77777777" w:rsidR="00885C60" w:rsidRPr="00471AF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584"/>
      </w:pPr>
      <w:r w:rsidRPr="00471AF8">
        <w:t>Nezbytnou přílohou Veřejnoprávní smlouvy je formulář Vyúčtování dotace.</w:t>
      </w:r>
    </w:p>
    <w:p w14:paraId="0FD1A272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VI.</w:t>
      </w:r>
      <w:r w:rsidRPr="00471AF8">
        <w:rPr>
          <w:rFonts w:eastAsia="Play" w:cs="Play"/>
          <w:b/>
          <w:sz w:val="32"/>
          <w:szCs w:val="32"/>
        </w:rPr>
        <w:tab/>
        <w:t>Kontrola použití dotace</w:t>
      </w:r>
    </w:p>
    <w:p w14:paraId="78519F84" w14:textId="77777777" w:rsidR="00885C60" w:rsidRPr="00471AF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Použití dotace poskytnuté městem podléhá veřejnoprávní kontrole nakládání s poskytnutou dotací, tj. s veřejnými prostředky. Příjemce bude Veřejnoprávní smlouvou zavázán k tomu, že vytvoří poskytovateli podmínky k provedení kontroly, a to jak z hlediska plnění věcné stránky, tak i z hlediska hospodárného a účelového čerpání a použití poskytnuté dotace.</w:t>
      </w:r>
    </w:p>
    <w:p w14:paraId="6E617C51" w14:textId="77777777" w:rsidR="00885C60" w:rsidRPr="00471AF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Výkon kontroly u příjemců dotace dle zákona o finanční kontrole provádí pověřená osoba poskytovatele, dále pověření členové zastupitelstva města, kontrolního a finančního výboru ZM.</w:t>
      </w:r>
    </w:p>
    <w:p w14:paraId="2CEB28E3" w14:textId="76472F69" w:rsidR="00885C60" w:rsidRPr="00471AF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lastRenderedPageBreak/>
        <w:t>Příjemce dotace je povinen nejpozději do 15. 11. 202</w:t>
      </w:r>
      <w:r w:rsidR="0006191E">
        <w:t>4</w:t>
      </w:r>
      <w:r w:rsidRPr="00471AF8">
        <w:t xml:space="preserve"> odevzdat zhodnocení a vyúčtování přijaté dotace.</w:t>
      </w:r>
    </w:p>
    <w:p w14:paraId="548C50E0" w14:textId="77777777" w:rsidR="00885C60" w:rsidRPr="00471AF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Za splnění účelu čerpané dotace a za pravdivost a správnost závěrečného vyúčtování odpovídá statutární zástupce žadatele.</w:t>
      </w:r>
    </w:p>
    <w:p w14:paraId="77E09121" w14:textId="12754304" w:rsidR="00885C60" w:rsidRPr="00D15A3E" w:rsidRDefault="00000000" w:rsidP="00D15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584"/>
      </w:pPr>
      <w:r w:rsidRPr="00471AF8">
        <w:t>Příjemce dotace, který nedoloží ve stanoveném termínu vyúčtování dotace nebo dotaci použije v rozporu s podmínkami Veřejnoprávní smlouvy, bude vyzván k nápravě, případně k vrácení dotace či její části. K vrácení dotace je také povinen ten příjemce dotace, kterému bylo kontrolou prokázáno uvedení nepravdivých informací. V případě zjištění neoprávněného použití dotace, nebo jejího použití v rozporu s uzavřenou veřejnoprávní smlouvou, je příjemce povinen celou výši dotace vrátit do třiceti dnů od tohoto zjištění poskytovateli.</w:t>
      </w:r>
    </w:p>
    <w:p w14:paraId="7D2C9AD7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VII.</w:t>
      </w:r>
      <w:r w:rsidRPr="00471AF8">
        <w:rPr>
          <w:rFonts w:eastAsia="Play" w:cs="Play"/>
          <w:b/>
          <w:sz w:val="32"/>
          <w:szCs w:val="32"/>
        </w:rPr>
        <w:tab/>
        <w:t>Postup vyhodnocování a schvalování přidělení příspěvku jednotlivým žadatelům</w:t>
      </w:r>
    </w:p>
    <w:p w14:paraId="333D340D" w14:textId="77777777" w:rsidR="00885C60" w:rsidRPr="00471AF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Vyhodnocování došlých žádostí</w:t>
      </w:r>
    </w:p>
    <w:p w14:paraId="4E0299A2" w14:textId="77777777" w:rsidR="00885C60" w:rsidRPr="00471A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Vyhodnocení „Komisí pro hodnocení grantového programu Fasády historických objektů“ (dále jen „příslušné grantové komise“), zřízenou </w:t>
      </w:r>
      <w:r w:rsidRPr="00471AF8">
        <w:br/>
        <w:t xml:space="preserve">a odsouhlasenou Radou Města Humpolec. </w:t>
      </w:r>
    </w:p>
    <w:p w14:paraId="54CCBD8F" w14:textId="77777777" w:rsidR="00885C60" w:rsidRPr="00471AF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>Schválení výše jednotlivých příspěvků navržených příslušnou grantovou komisí Zastupitelstvem města Humpolec.</w:t>
      </w:r>
    </w:p>
    <w:p w14:paraId="4D90EB65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VIII.</w:t>
      </w:r>
      <w:r w:rsidRPr="00471AF8">
        <w:rPr>
          <w:rFonts w:eastAsia="Play" w:cs="Play"/>
          <w:b/>
          <w:sz w:val="32"/>
          <w:szCs w:val="32"/>
        </w:rPr>
        <w:tab/>
        <w:t>Vyhodnocování žádosti</w:t>
      </w:r>
    </w:p>
    <w:p w14:paraId="4BA3505E" w14:textId="77777777" w:rsidR="00885C60" w:rsidRPr="00471AF8" w:rsidRDefault="00000000">
      <w:pPr>
        <w:ind w:left="2267"/>
      </w:pPr>
      <w:r w:rsidRPr="00471AF8">
        <w:t>Vyhodnocování žádostí o příspěvek z rozpočtu Města Humpolec v rámci grantového řízení „Fasády historických objektů“ bude probíhat dvouúrovňově:</w:t>
      </w:r>
    </w:p>
    <w:p w14:paraId="534EF559" w14:textId="77777777" w:rsidR="00885C60" w:rsidRPr="00471A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Posouzení splnění podmínek zadání – základní kritéria</w:t>
      </w:r>
    </w:p>
    <w:p w14:paraId="172730F3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cíl grantového programu</w:t>
      </w:r>
    </w:p>
    <w:p w14:paraId="558D970B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rozsah projektu</w:t>
      </w:r>
    </w:p>
    <w:p w14:paraId="33E866C0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lokalizace projektu</w:t>
      </w:r>
    </w:p>
    <w:p w14:paraId="75BAA0D9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soulad projektu s obecně platnými právními předpisy</w:t>
      </w:r>
    </w:p>
    <w:p w14:paraId="13B9A184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přijatelné a nepřijatelné výdaje</w:t>
      </w:r>
    </w:p>
    <w:p w14:paraId="53760205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reálnost a průhlednost rozpočtu nákladů</w:t>
      </w:r>
    </w:p>
    <w:p w14:paraId="71385514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připravenost a realizovatelnost projektu</w:t>
      </w:r>
    </w:p>
    <w:p w14:paraId="1924C340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důvěryhodnost předkladatele a jeho schopnost akci spolufinancovat a realizovat</w:t>
      </w:r>
    </w:p>
    <w:p w14:paraId="32631FC7" w14:textId="77777777" w:rsidR="00885C60" w:rsidRPr="00471AF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Hodnocení projektu – dle specifických kritérií</w:t>
      </w:r>
    </w:p>
    <w:p w14:paraId="1FC6F19B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umístění objektu v rámci historické struktury města</w:t>
      </w:r>
    </w:p>
    <w:p w14:paraId="2E2F98C2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architektonický výraz hmot</w:t>
      </w:r>
    </w:p>
    <w:p w14:paraId="73040EF5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reálnost časového harmonogramu projektu</w:t>
      </w:r>
    </w:p>
    <w:p w14:paraId="7DBECDF4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přiměřenost požadovaných finančních prostředků</w:t>
      </w:r>
    </w:p>
    <w:p w14:paraId="1BEFFAB6" w14:textId="77777777" w:rsidR="00885C60" w:rsidRPr="00471AF8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34" w:hanging="566"/>
      </w:pPr>
      <w:r w:rsidRPr="00471AF8">
        <w:t>stanovisko Komise pro architekturu a urbanismus</w:t>
      </w:r>
    </w:p>
    <w:p w14:paraId="6071CF56" w14:textId="77777777" w:rsidR="00885C60" w:rsidRPr="00471AF8" w:rsidRDefault="00000000">
      <w:pPr>
        <w:spacing w:after="120"/>
        <w:ind w:left="2267"/>
      </w:pPr>
      <w:r w:rsidRPr="00471AF8">
        <w:t>Hodnotitelské tabulky jsou přílohou těchto pravidel. Tyto tabulky slouží příslušné grantové komisi a finančnímu výboru pro posuzování jednotlivých projektů. Výsledky vyhodnocování slouží zastupitelstvu města k rozhodnutí o výši přidělení příspěvku na jednotlivé projekty, které splnily podmínky výzvy grantového řízení.</w:t>
      </w:r>
    </w:p>
    <w:p w14:paraId="092C116E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IX.</w:t>
      </w:r>
      <w:r w:rsidRPr="00471AF8">
        <w:rPr>
          <w:rFonts w:eastAsia="Play" w:cs="Play"/>
          <w:b/>
          <w:sz w:val="32"/>
          <w:szCs w:val="32"/>
        </w:rPr>
        <w:tab/>
        <w:t>Časové rozvržení vyhodnocování a schvalování projektů</w:t>
      </w:r>
    </w:p>
    <w:p w14:paraId="7AA54DBF" w14:textId="77777777" w:rsidR="00885C60" w:rsidRPr="00471A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vyhodnocování žádostí příslušnou grantovou komisí proběhne do 10. dubna příslušného roku podání </w:t>
      </w:r>
    </w:p>
    <w:p w14:paraId="32A49FB5" w14:textId="77777777" w:rsidR="00885C60" w:rsidRPr="00471A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předložení a schvalování jednotlivých projektů navržených ke schválení Zastupitelstvu města Humpolec (dále jen „ZM“) koncem dubna, nejpozději však počátkem května příslušného roku podání (dle plánu práce ZM v příslušném kalendářním roce)</w:t>
      </w:r>
    </w:p>
    <w:p w14:paraId="708FBE63" w14:textId="77777777" w:rsidR="00885C60" w:rsidRPr="00471A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34" w:hanging="566"/>
      </w:pPr>
      <w:r w:rsidRPr="00471AF8">
        <w:lastRenderedPageBreak/>
        <w:t xml:space="preserve">seznámení předkladatelů projektů s výsledkem řízení (usnesením ZM) nejpozději do </w:t>
      </w:r>
      <w:proofErr w:type="gramStart"/>
      <w:r w:rsidRPr="00471AF8">
        <w:t>15-ti</w:t>
      </w:r>
      <w:proofErr w:type="gramEnd"/>
      <w:r w:rsidRPr="00471AF8">
        <w:t xml:space="preserve"> dnů ode dne schválení ZM.</w:t>
      </w:r>
    </w:p>
    <w:p w14:paraId="5587E1C9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X.</w:t>
      </w:r>
      <w:r w:rsidRPr="00471AF8">
        <w:rPr>
          <w:rFonts w:eastAsia="Play" w:cs="Play"/>
          <w:b/>
          <w:sz w:val="32"/>
          <w:szCs w:val="32"/>
        </w:rPr>
        <w:tab/>
        <w:t>Smlouva o poskytnutí příspěvku</w:t>
      </w:r>
    </w:p>
    <w:p w14:paraId="58EDC5BE" w14:textId="77777777" w:rsidR="00885C60" w:rsidRPr="00471AF8" w:rsidRDefault="00000000">
      <w:pPr>
        <w:spacing w:after="120"/>
        <w:ind w:left="2267"/>
      </w:pPr>
      <w:r w:rsidRPr="00471AF8">
        <w:t>Předkladatelé projektů, kterým bude ZM schválen příspěvek budou vyzváni k uzavření smlouvy o poskytnutí příspěvku a k předložení příloh a) až c) dle Čl. XI. výzvy grantového řízení.</w:t>
      </w:r>
    </w:p>
    <w:p w14:paraId="34C7EF2D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XI.</w:t>
      </w:r>
      <w:r w:rsidRPr="00471AF8">
        <w:rPr>
          <w:rFonts w:eastAsia="Play" w:cs="Play"/>
          <w:b/>
          <w:sz w:val="32"/>
          <w:szCs w:val="32"/>
        </w:rPr>
        <w:tab/>
        <w:t>Závěrečné vyhodnocení realizace projektů</w:t>
      </w:r>
      <w:r w:rsidRPr="00471AF8">
        <w:rPr>
          <w:rFonts w:eastAsia="Play" w:cs="Play"/>
          <w:b/>
          <w:sz w:val="32"/>
          <w:szCs w:val="32"/>
        </w:rPr>
        <w:br/>
        <w:t>a plnění podmínek</w:t>
      </w:r>
    </w:p>
    <w:p w14:paraId="752F736D" w14:textId="77777777" w:rsidR="00885C60" w:rsidRPr="00471A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Vyhodnocení realizace projektu provede příslušná grantová komise v měsíci listopad příslušného kalendářního roku. </w:t>
      </w:r>
    </w:p>
    <w:p w14:paraId="386C13E2" w14:textId="77777777" w:rsidR="00885C60" w:rsidRPr="00471A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Za jednotlivé hodnocení zodpovídá předseda příslušné grantové komise.</w:t>
      </w:r>
    </w:p>
    <w:p w14:paraId="2543A589" w14:textId="77777777" w:rsidR="00885C60" w:rsidRPr="00471AF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Závěrečné vyhodnocení bude předloženo na nejbližší zasedání zastupitelstva města.</w:t>
      </w:r>
    </w:p>
    <w:p w14:paraId="2F3249D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firstLine="1928"/>
      </w:pPr>
    </w:p>
    <w:p w14:paraId="3747AB7A" w14:textId="77777777" w:rsidR="00885C60" w:rsidRPr="00471AF8" w:rsidRDefault="00885C60">
      <w:pPr>
        <w:spacing w:after="160" w:line="259" w:lineRule="auto"/>
        <w:ind w:left="0"/>
      </w:pPr>
    </w:p>
    <w:p w14:paraId="538A3026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XII.</w:t>
      </w:r>
      <w:r w:rsidRPr="00471AF8">
        <w:rPr>
          <w:rFonts w:eastAsia="Play" w:cs="Play"/>
          <w:b/>
          <w:sz w:val="32"/>
          <w:szCs w:val="32"/>
        </w:rPr>
        <w:tab/>
        <w:t>Závěrečná ustanovení</w:t>
      </w:r>
    </w:p>
    <w:p w14:paraId="776610EC" w14:textId="77777777" w:rsidR="00885C60" w:rsidRPr="00471AF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Veškeré informace o dotačním řízení jsou k dispozici na webových stránkách města Humpolec.</w:t>
      </w:r>
    </w:p>
    <w:p w14:paraId="21A415E3" w14:textId="724AF023" w:rsidR="00885C60" w:rsidRPr="00471AF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Tato pravidla schválilo Zastupitelstvo města Humpolec svým usnesením</w:t>
      </w:r>
      <w:r w:rsidRPr="00471AF8">
        <w:br/>
        <w:t xml:space="preserve">č. </w:t>
      </w:r>
      <w:r w:rsidR="00D15A3E" w:rsidRPr="0006191E">
        <w:rPr>
          <w:highlight w:val="yellow"/>
        </w:rPr>
        <w:t>???</w:t>
      </w:r>
      <w:r w:rsidR="00D15A3E" w:rsidRPr="00471AF8">
        <w:t>/</w:t>
      </w:r>
      <w:r w:rsidR="00D15A3E">
        <w:t>6</w:t>
      </w:r>
      <w:r w:rsidR="00D15A3E" w:rsidRPr="00471AF8">
        <w:t>/ZM/202</w:t>
      </w:r>
      <w:r w:rsidR="00D15A3E">
        <w:t>3</w:t>
      </w:r>
      <w:r w:rsidR="00D15A3E" w:rsidRPr="00471AF8">
        <w:t xml:space="preserve"> z </w:t>
      </w:r>
      <w:r w:rsidR="00D15A3E">
        <w:t>6</w:t>
      </w:r>
      <w:r w:rsidR="00D15A3E" w:rsidRPr="00471AF8">
        <w:t xml:space="preserve">. zasedání dne </w:t>
      </w:r>
      <w:r w:rsidR="00D15A3E">
        <w:t>2</w:t>
      </w:r>
      <w:r w:rsidR="00D15A3E">
        <w:t>7</w:t>
      </w:r>
      <w:r w:rsidR="00D15A3E" w:rsidRPr="00471AF8">
        <w:t xml:space="preserve">. </w:t>
      </w:r>
      <w:r w:rsidR="00D15A3E">
        <w:t>9</w:t>
      </w:r>
      <w:r w:rsidR="00D15A3E" w:rsidRPr="00471AF8">
        <w:t>. 202</w:t>
      </w:r>
      <w:r w:rsidR="00D15A3E">
        <w:t>3</w:t>
      </w:r>
      <w:r w:rsidRPr="00471AF8">
        <w:t>.</w:t>
      </w:r>
    </w:p>
    <w:p w14:paraId="2EE86B86" w14:textId="77777777" w:rsidR="00885C60" w:rsidRPr="00471AF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Na poskytnutí dotace není právní nárok.</w:t>
      </w:r>
    </w:p>
    <w:p w14:paraId="2571C727" w14:textId="77777777" w:rsidR="00885C60" w:rsidRPr="00471AF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 odůvodněných případech si obec vyhrazuje možnost postupovat odlišně od těchto Pravidel.</w:t>
      </w:r>
    </w:p>
    <w:p w14:paraId="18F1E3FC" w14:textId="20108629" w:rsidR="00885C60" w:rsidRPr="00471AF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 xml:space="preserve">Tato pravidla nabývají platnosti a účinnosti dnem </w:t>
      </w:r>
      <w:r w:rsidR="00D15A3E">
        <w:t>27</w:t>
      </w:r>
      <w:r w:rsidRPr="00471AF8">
        <w:t>.</w:t>
      </w:r>
      <w:r w:rsidR="00D15A3E">
        <w:t xml:space="preserve"> 9</w:t>
      </w:r>
      <w:r w:rsidRPr="00471AF8">
        <w:t>. 2023.</w:t>
      </w:r>
    </w:p>
    <w:p w14:paraId="12C3F299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23E85F7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3A618EB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616AE1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F21741C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35DAECB0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AB6F075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7338E26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1FE112E3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189E4218" w14:textId="77777777" w:rsidR="00885C60" w:rsidRPr="00471AF8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…………………………………………..</w:t>
      </w:r>
    </w:p>
    <w:p w14:paraId="0A5A4BF8" w14:textId="05CC2FA7" w:rsidR="00885C60" w:rsidRDefault="00D15A3E">
      <w:pPr>
        <w:ind w:left="0"/>
      </w:pPr>
      <w:r>
        <w:t>Ing. Petr Machek</w:t>
      </w:r>
    </w:p>
    <w:p w14:paraId="6F5E0AFD" w14:textId="70607702" w:rsidR="00D15A3E" w:rsidRPr="00471AF8" w:rsidRDefault="00D15A3E">
      <w:pPr>
        <w:ind w:left="0"/>
      </w:pPr>
      <w:r>
        <w:t>místostarosta města</w:t>
      </w:r>
    </w:p>
    <w:p w14:paraId="452113E1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1046DB7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1F1CA31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73E682EE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D39C916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CE44F1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DBB408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3A78210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C3585CA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C5A7864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4" w:space="709"/>
            <w:col w:w="4464" w:space="0"/>
          </w:cols>
        </w:sectPr>
      </w:pPr>
    </w:p>
    <w:p w14:paraId="05C95E49" w14:textId="77777777" w:rsidR="00885C60" w:rsidRPr="00471AF8" w:rsidRDefault="00000000">
      <w:pPr>
        <w:spacing w:after="160" w:line="259" w:lineRule="auto"/>
        <w:ind w:left="0"/>
      </w:pPr>
      <w:r w:rsidRPr="00471AF8">
        <w:tab/>
      </w:r>
      <w:r w:rsidRPr="00471AF8">
        <w:tab/>
      </w:r>
      <w:r w:rsidRPr="00471AF8">
        <w:tab/>
      </w:r>
      <w:r w:rsidRPr="00471AF8">
        <w:tab/>
      </w:r>
    </w:p>
    <w:p w14:paraId="1932D4B6" w14:textId="77777777" w:rsidR="00885C60" w:rsidRPr="00471AF8" w:rsidRDefault="00885C60">
      <w:pPr>
        <w:spacing w:after="160" w:line="259" w:lineRule="auto"/>
        <w:ind w:left="0"/>
      </w:pPr>
    </w:p>
    <w:p w14:paraId="4E171AD0" w14:textId="77777777" w:rsidR="00885C60" w:rsidRPr="00471AF8" w:rsidRDefault="00885C60">
      <w:pPr>
        <w:spacing w:after="160" w:line="259" w:lineRule="auto"/>
        <w:ind w:left="0"/>
      </w:pPr>
    </w:p>
    <w:p w14:paraId="676C8F74" w14:textId="77777777" w:rsidR="00885C60" w:rsidRPr="00471AF8" w:rsidRDefault="00885C60">
      <w:pPr>
        <w:spacing w:after="160" w:line="259" w:lineRule="auto"/>
        <w:ind w:left="0"/>
      </w:pPr>
    </w:p>
    <w:p w14:paraId="4AC83293" w14:textId="77777777" w:rsidR="00885C60" w:rsidRPr="00471AF8" w:rsidRDefault="00885C60">
      <w:pPr>
        <w:spacing w:after="160" w:line="259" w:lineRule="auto"/>
        <w:ind w:left="0"/>
      </w:pPr>
    </w:p>
    <w:p w14:paraId="7D491EA5" w14:textId="77777777" w:rsidR="00885C60" w:rsidRPr="00471AF8" w:rsidRDefault="00885C60">
      <w:pPr>
        <w:spacing w:after="160" w:line="259" w:lineRule="auto"/>
        <w:ind w:left="0"/>
      </w:pPr>
    </w:p>
    <w:p w14:paraId="792999B2" w14:textId="77777777" w:rsidR="00885C60" w:rsidRPr="00471AF8" w:rsidRDefault="00000000">
      <w:pPr>
        <w:spacing w:after="160" w:line="259" w:lineRule="auto"/>
        <w:ind w:left="0"/>
        <w:rPr>
          <w:color w:val="000000"/>
        </w:rPr>
      </w:pPr>
      <w:r w:rsidRPr="00471AF8">
        <w:t>Příloha: hodnotitelské tabulky</w:t>
      </w:r>
    </w:p>
    <w:sectPr w:rsidR="00885C60" w:rsidRPr="00471AF8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3E86" w14:textId="77777777" w:rsidR="005834B8" w:rsidRDefault="005834B8">
      <w:r>
        <w:separator/>
      </w:r>
    </w:p>
  </w:endnote>
  <w:endnote w:type="continuationSeparator" w:id="0">
    <w:p w14:paraId="48F0935D" w14:textId="77777777" w:rsidR="005834B8" w:rsidRDefault="0058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9255" w14:textId="77777777" w:rsidR="00885C60" w:rsidRDefault="00885C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Style w:val="ac"/>
      <w:tblW w:w="9870" w:type="dxa"/>
      <w:tblInd w:w="-115" w:type="dxa"/>
      <w:tblBorders>
        <w:insideV w:val="single" w:sz="18" w:space="0" w:color="4472C4"/>
      </w:tblBorders>
      <w:tblLayout w:type="fixed"/>
      <w:tblLook w:val="0400" w:firstRow="0" w:lastRow="0" w:firstColumn="0" w:lastColumn="0" w:noHBand="0" w:noVBand="1"/>
    </w:tblPr>
    <w:tblGrid>
      <w:gridCol w:w="2490"/>
      <w:gridCol w:w="7380"/>
    </w:tblGrid>
    <w:tr w:rsidR="00885C60" w14:paraId="043490FA" w14:textId="77777777">
      <w:tc>
        <w:tcPr>
          <w:tcW w:w="2490" w:type="dxa"/>
          <w:tcBorders>
            <w:right w:val="single" w:sz="18" w:space="0" w:color="FFFFFF"/>
          </w:tcBorders>
        </w:tcPr>
        <w:p w14:paraId="7C7B77F4" w14:textId="5F0124AB" w:rsidR="00885C6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1928"/>
            <w:jc w:val="right"/>
            <w:rPr>
              <w:color w:val="4472C4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71AF8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 w:rsidR="0006191E" w:rsidRPr="0006191E">
            <w:rPr>
              <w:color w:val="000000"/>
            </w:rPr>
            <w:fldChar w:fldCharType="begin"/>
          </w:r>
          <w:r w:rsidR="0006191E" w:rsidRPr="0006191E">
            <w:rPr>
              <w:color w:val="000000"/>
            </w:rPr>
            <w:instrText>PAGE   \* MERGEFORMAT</w:instrText>
          </w:r>
          <w:r w:rsidR="0006191E" w:rsidRPr="0006191E">
            <w:rPr>
              <w:color w:val="000000"/>
            </w:rPr>
            <w:fldChar w:fldCharType="separate"/>
          </w:r>
          <w:r w:rsidR="0006191E" w:rsidRPr="0006191E">
            <w:rPr>
              <w:color w:val="000000"/>
            </w:rPr>
            <w:t>1</w:t>
          </w:r>
          <w:r w:rsidR="0006191E" w:rsidRPr="0006191E">
            <w:rPr>
              <w:color w:val="000000"/>
            </w:rPr>
            <w:fldChar w:fldCharType="end"/>
          </w:r>
          <w:r>
            <w:rPr>
              <w:color w:val="000000"/>
            </w:rPr>
            <w:t>/</w:t>
          </w:r>
          <w:r w:rsidR="00D15A3E">
            <w:rPr>
              <w:color w:val="000000"/>
            </w:rPr>
            <w:t>5</w:t>
          </w:r>
        </w:p>
      </w:tc>
      <w:tc>
        <w:tcPr>
          <w:tcW w:w="7380" w:type="dxa"/>
          <w:tcBorders>
            <w:left w:val="single" w:sz="18" w:space="0" w:color="FFFFFF"/>
          </w:tcBorders>
        </w:tcPr>
        <w:p w14:paraId="27B5CADF" w14:textId="77777777" w:rsidR="00885C60" w:rsidRDefault="00885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1928"/>
            <w:rPr>
              <w:color w:val="4472C4"/>
            </w:rPr>
          </w:pPr>
        </w:p>
      </w:tc>
    </w:tr>
  </w:tbl>
  <w:p w14:paraId="6FAA70A1" w14:textId="77777777" w:rsidR="00885C60" w:rsidRDefault="00885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C5A2" w14:textId="77777777" w:rsidR="005834B8" w:rsidRDefault="005834B8">
      <w:r>
        <w:separator/>
      </w:r>
    </w:p>
  </w:footnote>
  <w:footnote w:type="continuationSeparator" w:id="0">
    <w:p w14:paraId="76A6F7DA" w14:textId="77777777" w:rsidR="005834B8" w:rsidRDefault="0058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8FD"/>
    <w:multiLevelType w:val="multilevel"/>
    <w:tmpl w:val="4A02AC04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13E44ACC"/>
    <w:multiLevelType w:val="multilevel"/>
    <w:tmpl w:val="84761F50"/>
    <w:lvl w:ilvl="0">
      <w:start w:val="1"/>
      <w:numFmt w:val="bullet"/>
      <w:lvlText w:val="●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8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5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9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6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1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84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E9026C"/>
    <w:multiLevelType w:val="multilevel"/>
    <w:tmpl w:val="458C7BE4"/>
    <w:lvl w:ilvl="0">
      <w:start w:val="1"/>
      <w:numFmt w:val="bullet"/>
      <w:lvlText w:val="●"/>
      <w:lvlJc w:val="left"/>
      <w:pPr>
        <w:ind w:left="3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8D20F9"/>
    <w:multiLevelType w:val="multilevel"/>
    <w:tmpl w:val="4176D7F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4" w15:restartNumberingAfterBreak="0">
    <w:nsid w:val="36145EE9"/>
    <w:multiLevelType w:val="multilevel"/>
    <w:tmpl w:val="B72A65D0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E90C59"/>
    <w:multiLevelType w:val="multilevel"/>
    <w:tmpl w:val="C8FC28B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6" w15:restartNumberingAfterBreak="0">
    <w:nsid w:val="411C127F"/>
    <w:multiLevelType w:val="multilevel"/>
    <w:tmpl w:val="9D72BB7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7" w15:restartNumberingAfterBreak="0">
    <w:nsid w:val="4B4566EF"/>
    <w:multiLevelType w:val="multilevel"/>
    <w:tmpl w:val="7292DEEA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8" w15:restartNumberingAfterBreak="0">
    <w:nsid w:val="58545270"/>
    <w:multiLevelType w:val="multilevel"/>
    <w:tmpl w:val="D7DCBA3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654128F0"/>
    <w:multiLevelType w:val="multilevel"/>
    <w:tmpl w:val="80EC3FE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0" w15:restartNumberingAfterBreak="0">
    <w:nsid w:val="78BF162C"/>
    <w:multiLevelType w:val="multilevel"/>
    <w:tmpl w:val="A8463086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num w:numId="1" w16cid:durableId="1371296072">
    <w:abstractNumId w:val="3"/>
  </w:num>
  <w:num w:numId="2" w16cid:durableId="892617730">
    <w:abstractNumId w:val="2"/>
  </w:num>
  <w:num w:numId="3" w16cid:durableId="1383863521">
    <w:abstractNumId w:val="8"/>
  </w:num>
  <w:num w:numId="4" w16cid:durableId="1879970918">
    <w:abstractNumId w:val="6"/>
  </w:num>
  <w:num w:numId="5" w16cid:durableId="1105464503">
    <w:abstractNumId w:val="0"/>
  </w:num>
  <w:num w:numId="6" w16cid:durableId="469446761">
    <w:abstractNumId w:val="4"/>
  </w:num>
  <w:num w:numId="7" w16cid:durableId="1061097568">
    <w:abstractNumId w:val="9"/>
  </w:num>
  <w:num w:numId="8" w16cid:durableId="86855424">
    <w:abstractNumId w:val="10"/>
  </w:num>
  <w:num w:numId="9" w16cid:durableId="1142774926">
    <w:abstractNumId w:val="7"/>
  </w:num>
  <w:num w:numId="10" w16cid:durableId="1772554425">
    <w:abstractNumId w:val="5"/>
  </w:num>
  <w:num w:numId="11" w16cid:durableId="51342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60"/>
    <w:rsid w:val="0006191E"/>
    <w:rsid w:val="00471AF8"/>
    <w:rsid w:val="005834B8"/>
    <w:rsid w:val="00885C60"/>
    <w:rsid w:val="00D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7DE9"/>
  <w15:docId w15:val="{5301D9AB-865A-4781-8679-F241DB8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419D"/>
    <w:pPr>
      <w:ind w:left="720"/>
      <w:contextualSpacing/>
    </w:pPr>
  </w:style>
  <w:style w:type="table" w:customStyle="1" w:styleId="ac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1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191E"/>
  </w:style>
  <w:style w:type="paragraph" w:styleId="Zpat">
    <w:name w:val="footer"/>
    <w:basedOn w:val="Normln"/>
    <w:link w:val="ZpatChar"/>
    <w:uiPriority w:val="99"/>
    <w:unhideWhenUsed/>
    <w:rsid w:val="00061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B+denD9Z1lMH0B5JeDPmw5YHw==">AMUW2mW+duIKA+j/+wc/PspsfBJp2kqpNYLk2AR5skBcJYXG7xfK3Hr/AisNl0hAQYwKlKs3XlbdFaHnKv5WSsx8K9jH8f7LFq8zbtu9gW+S1m7/g0Jk0r32iNJopgJAWisFccWwC3FL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1738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Petr Machek</cp:lastModifiedBy>
  <cp:revision>3</cp:revision>
  <dcterms:created xsi:type="dcterms:W3CDTF">2022-12-21T07:02:00Z</dcterms:created>
  <dcterms:modified xsi:type="dcterms:W3CDTF">2023-08-09T09:29:00Z</dcterms:modified>
</cp:coreProperties>
</file>