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FF01" w14:textId="77777777" w:rsidR="00977F5B" w:rsidRPr="003C66F4" w:rsidRDefault="00936435">
      <w:pPr>
        <w:spacing w:after="0" w:line="360" w:lineRule="auto"/>
        <w:ind w:left="1391" w:right="1316" w:firstLine="0"/>
        <w:jc w:val="center"/>
        <w:rPr>
          <w:rFonts w:ascii="Atyp BL Text" w:hAnsi="Atyp BL Text"/>
          <w:b/>
          <w:sz w:val="36"/>
          <w:szCs w:val="36"/>
        </w:rPr>
      </w:pPr>
      <w:r w:rsidRPr="003C66F4">
        <w:rPr>
          <w:rFonts w:ascii="Atyp BL Text" w:hAnsi="Atyp BL Text"/>
          <w:b/>
          <w:sz w:val="36"/>
          <w:szCs w:val="36"/>
        </w:rPr>
        <w:t xml:space="preserve">Akční plán rozvoje města Humpolce </w:t>
      </w:r>
    </w:p>
    <w:p w14:paraId="6EA02A15" w14:textId="3946A9C6" w:rsidR="00CA7BE3" w:rsidRPr="003C66F4" w:rsidRDefault="00936435">
      <w:pPr>
        <w:spacing w:after="0" w:line="360" w:lineRule="auto"/>
        <w:ind w:left="1391" w:right="1316" w:firstLine="0"/>
        <w:jc w:val="center"/>
        <w:rPr>
          <w:rFonts w:ascii="Atyp BL Text" w:hAnsi="Atyp BL Text"/>
          <w:sz w:val="36"/>
          <w:szCs w:val="36"/>
        </w:rPr>
      </w:pPr>
      <w:r w:rsidRPr="003C66F4">
        <w:rPr>
          <w:rFonts w:ascii="Atyp BL Text" w:hAnsi="Atyp BL Text"/>
          <w:b/>
          <w:sz w:val="36"/>
          <w:szCs w:val="36"/>
        </w:rPr>
        <w:t>202</w:t>
      </w:r>
      <w:r w:rsidR="00977F5B" w:rsidRPr="003C66F4">
        <w:rPr>
          <w:rFonts w:ascii="Atyp BL Text" w:hAnsi="Atyp BL Text"/>
          <w:b/>
          <w:sz w:val="36"/>
          <w:szCs w:val="36"/>
        </w:rPr>
        <w:t>4</w:t>
      </w:r>
      <w:r w:rsidRPr="003C66F4">
        <w:rPr>
          <w:rFonts w:ascii="Atyp BL Text" w:hAnsi="Atyp BL Text"/>
          <w:b/>
          <w:sz w:val="36"/>
          <w:szCs w:val="36"/>
        </w:rPr>
        <w:t>-202</w:t>
      </w:r>
      <w:r w:rsidR="00977F5B" w:rsidRPr="003C66F4">
        <w:rPr>
          <w:rFonts w:ascii="Atyp BL Text" w:hAnsi="Atyp BL Text"/>
          <w:b/>
          <w:sz w:val="36"/>
          <w:szCs w:val="36"/>
        </w:rPr>
        <w:t>6</w:t>
      </w:r>
      <w:r w:rsidRPr="003C66F4">
        <w:rPr>
          <w:rFonts w:ascii="Atyp BL Text" w:hAnsi="Atyp BL Text"/>
          <w:b/>
          <w:sz w:val="36"/>
          <w:szCs w:val="36"/>
        </w:rPr>
        <w:t xml:space="preserve"> </w:t>
      </w:r>
    </w:p>
    <w:p w14:paraId="117B59AC" w14:textId="77777777" w:rsidR="00CA7BE3" w:rsidRPr="003C66F4" w:rsidRDefault="00936435">
      <w:pPr>
        <w:spacing w:after="140" w:line="259" w:lineRule="auto"/>
        <w:ind w:left="75" w:right="0" w:firstLine="0"/>
        <w:jc w:val="center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b/>
          <w:sz w:val="22"/>
          <w:szCs w:val="22"/>
        </w:rPr>
        <w:t xml:space="preserve"> </w:t>
      </w:r>
    </w:p>
    <w:p w14:paraId="442BE0A5" w14:textId="20F4211B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Akční plán</w:t>
      </w:r>
      <w:r w:rsidR="00EF5848">
        <w:rPr>
          <w:rFonts w:ascii="Atyp BL Text" w:hAnsi="Atyp BL Text"/>
          <w:sz w:val="22"/>
          <w:szCs w:val="22"/>
        </w:rPr>
        <w:t xml:space="preserve"> </w:t>
      </w:r>
      <w:r w:rsidRPr="003C66F4">
        <w:rPr>
          <w:rFonts w:ascii="Atyp BL Text" w:hAnsi="Atyp BL Text"/>
          <w:sz w:val="22"/>
          <w:szCs w:val="22"/>
        </w:rPr>
        <w:t>rozvoje města Humpolce na období let 202</w:t>
      </w:r>
      <w:r w:rsidR="003C66F4" w:rsidRPr="003C66F4">
        <w:rPr>
          <w:rFonts w:ascii="Atyp BL Text" w:hAnsi="Atyp BL Text"/>
          <w:sz w:val="22"/>
          <w:szCs w:val="22"/>
        </w:rPr>
        <w:t>4</w:t>
      </w:r>
      <w:r w:rsidRPr="003C66F4">
        <w:rPr>
          <w:rFonts w:ascii="Atyp BL Text" w:hAnsi="Atyp BL Text"/>
          <w:sz w:val="22"/>
          <w:szCs w:val="22"/>
        </w:rPr>
        <w:t xml:space="preserve"> až 202</w:t>
      </w:r>
      <w:r w:rsidR="003C66F4" w:rsidRPr="003C66F4">
        <w:rPr>
          <w:rFonts w:ascii="Atyp BL Text" w:hAnsi="Atyp BL Text"/>
          <w:sz w:val="22"/>
          <w:szCs w:val="22"/>
        </w:rPr>
        <w:t>6</w:t>
      </w:r>
      <w:r w:rsidRPr="003C66F4">
        <w:rPr>
          <w:rFonts w:ascii="Atyp BL Text" w:hAnsi="Atyp BL Text"/>
          <w:sz w:val="22"/>
          <w:szCs w:val="22"/>
        </w:rPr>
        <w:t xml:space="preserve"> podrobněji rozpracovává strategické cíle stanovené Strategickým plánem rozvoje města Humpolce pro období let 2021 až 2030 a stanovuje priority pro </w:t>
      </w:r>
      <w:r w:rsidR="003C66F4" w:rsidRPr="003C66F4">
        <w:rPr>
          <w:rFonts w:ascii="Atyp BL Text" w:hAnsi="Atyp BL Text"/>
          <w:sz w:val="22"/>
          <w:szCs w:val="22"/>
        </w:rPr>
        <w:t>další</w:t>
      </w:r>
      <w:r w:rsidRPr="003C66F4">
        <w:rPr>
          <w:rFonts w:ascii="Atyp BL Text" w:hAnsi="Atyp BL Text"/>
          <w:sz w:val="22"/>
          <w:szCs w:val="22"/>
        </w:rPr>
        <w:t xml:space="preserve"> tři roky strategického dokumentu vymezujícího celkem desetileté období rozvoje města.  </w:t>
      </w:r>
    </w:p>
    <w:p w14:paraId="6255E684" w14:textId="77777777" w:rsidR="00CA7BE3" w:rsidRPr="003C66F4" w:rsidRDefault="00936435">
      <w:pPr>
        <w:spacing w:after="160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14794839" w14:textId="5D4E80F2" w:rsidR="00CA7BE3" w:rsidRPr="003C66F4" w:rsidRDefault="00936435">
      <w:pPr>
        <w:spacing w:after="156" w:line="259" w:lineRule="auto"/>
        <w:ind w:left="-5" w:right="0"/>
        <w:rPr>
          <w:rFonts w:ascii="Atyp BL Text" w:hAnsi="Atyp BL Text"/>
          <w:sz w:val="22"/>
          <w:szCs w:val="22"/>
          <w:u w:val="single"/>
        </w:rPr>
      </w:pPr>
      <w:r w:rsidRPr="003C66F4">
        <w:rPr>
          <w:rFonts w:ascii="Atyp BL Text" w:hAnsi="Atyp BL Text"/>
          <w:sz w:val="22"/>
          <w:szCs w:val="22"/>
          <w:u w:val="single"/>
        </w:rPr>
        <w:t>Akční plán je ve formě tabulek rozdělen do pěti tematických oblastí:</w:t>
      </w:r>
    </w:p>
    <w:p w14:paraId="0BD46643" w14:textId="3BD385C7" w:rsidR="00CA7BE3" w:rsidRPr="003C66F4" w:rsidRDefault="00936435">
      <w:pPr>
        <w:numPr>
          <w:ilvl w:val="0"/>
          <w:numId w:val="1"/>
        </w:numPr>
        <w:spacing w:after="117" w:line="259" w:lineRule="auto"/>
        <w:ind w:right="0" w:firstLine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Město, urbanismus, bydlení</w:t>
      </w:r>
    </w:p>
    <w:p w14:paraId="6E63CA9D" w14:textId="2AC0E5A6" w:rsidR="00CA7BE3" w:rsidRPr="003C66F4" w:rsidRDefault="00936435">
      <w:pPr>
        <w:numPr>
          <w:ilvl w:val="0"/>
          <w:numId w:val="1"/>
        </w:numPr>
        <w:spacing w:after="156" w:line="259" w:lineRule="auto"/>
        <w:ind w:right="0" w:firstLine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Doprava</w:t>
      </w:r>
    </w:p>
    <w:p w14:paraId="773C4A52" w14:textId="77777777" w:rsidR="003C66F4" w:rsidRPr="003C66F4" w:rsidRDefault="00936435">
      <w:pPr>
        <w:numPr>
          <w:ilvl w:val="0"/>
          <w:numId w:val="1"/>
        </w:numPr>
        <w:spacing w:after="0" w:line="396" w:lineRule="auto"/>
        <w:ind w:right="0" w:firstLine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Občanská vybavenost a služby</w:t>
      </w:r>
    </w:p>
    <w:p w14:paraId="0AEE63EC" w14:textId="5356F156" w:rsidR="003C66F4" w:rsidRPr="003C66F4" w:rsidRDefault="00936435">
      <w:pPr>
        <w:numPr>
          <w:ilvl w:val="0"/>
          <w:numId w:val="1"/>
        </w:numPr>
        <w:spacing w:after="0" w:line="396" w:lineRule="auto"/>
        <w:ind w:right="0" w:firstLine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Řízení a technická infrastruktura  </w:t>
      </w:r>
    </w:p>
    <w:p w14:paraId="0560E4AC" w14:textId="72CD6817" w:rsidR="00CA7BE3" w:rsidRPr="003C66F4" w:rsidRDefault="00936435">
      <w:pPr>
        <w:numPr>
          <w:ilvl w:val="0"/>
          <w:numId w:val="1"/>
        </w:numPr>
        <w:spacing w:after="0" w:line="396" w:lineRule="auto"/>
        <w:ind w:right="0" w:firstLine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Životní prostředí</w:t>
      </w:r>
    </w:p>
    <w:p w14:paraId="6096142D" w14:textId="77777777" w:rsidR="003C66F4" w:rsidRPr="003C66F4" w:rsidRDefault="003C66F4" w:rsidP="003C66F4">
      <w:pPr>
        <w:spacing w:after="0" w:line="396" w:lineRule="auto"/>
        <w:ind w:left="0" w:right="0" w:firstLine="0"/>
        <w:rPr>
          <w:rFonts w:ascii="Atyp BL Text" w:hAnsi="Atyp BL Text"/>
          <w:sz w:val="22"/>
          <w:szCs w:val="22"/>
        </w:rPr>
      </w:pPr>
    </w:p>
    <w:p w14:paraId="713142DE" w14:textId="2E7B3759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V každé oblasti jsou definovány strategické cíle, opatření, která jsou cílem, konkrétní úkoly k naplňování opatření, indikátory měření úspěšnosti plnění cílů, řešitel úkolu a období realizace. Po skončení daného období proběhne zhodnocení naplnění akčního plánu a zároveň je počítáno s tvorbou akčního plánu pro další období, tj. léta 202</w:t>
      </w:r>
      <w:r w:rsidR="003C66F4" w:rsidRPr="003C66F4">
        <w:rPr>
          <w:rFonts w:ascii="Atyp BL Text" w:hAnsi="Atyp BL Text"/>
          <w:sz w:val="22"/>
          <w:szCs w:val="22"/>
        </w:rPr>
        <w:t>7</w:t>
      </w:r>
      <w:r w:rsidRPr="003C66F4">
        <w:rPr>
          <w:rFonts w:ascii="Atyp BL Text" w:hAnsi="Atyp BL Text"/>
          <w:sz w:val="22"/>
          <w:szCs w:val="22"/>
        </w:rPr>
        <w:t xml:space="preserve"> až 20</w:t>
      </w:r>
      <w:r w:rsidR="003C66F4" w:rsidRPr="003C66F4">
        <w:rPr>
          <w:rFonts w:ascii="Atyp BL Text" w:hAnsi="Atyp BL Text"/>
          <w:sz w:val="22"/>
          <w:szCs w:val="22"/>
        </w:rPr>
        <w:t>30</w:t>
      </w:r>
      <w:r w:rsidRPr="003C66F4">
        <w:rPr>
          <w:rFonts w:ascii="Atyp BL Text" w:hAnsi="Atyp BL Text"/>
          <w:sz w:val="22"/>
          <w:szCs w:val="22"/>
        </w:rPr>
        <w:t>. Průběžné hodnocení bude probíhat každý rok, první v prosinci 202</w:t>
      </w:r>
      <w:r w:rsidR="003C66F4" w:rsidRPr="003C66F4">
        <w:rPr>
          <w:rFonts w:ascii="Atyp BL Text" w:hAnsi="Atyp BL Text"/>
          <w:sz w:val="22"/>
          <w:szCs w:val="22"/>
        </w:rPr>
        <w:t>4</w:t>
      </w:r>
      <w:r w:rsidRPr="003C66F4">
        <w:rPr>
          <w:rFonts w:ascii="Atyp BL Text" w:hAnsi="Atyp BL Text"/>
          <w:sz w:val="22"/>
          <w:szCs w:val="22"/>
        </w:rPr>
        <w:t xml:space="preserve">. </w:t>
      </w:r>
    </w:p>
    <w:p w14:paraId="09DF3B2F" w14:textId="77777777" w:rsidR="00CA7BE3" w:rsidRPr="003C66F4" w:rsidRDefault="00936435">
      <w:pPr>
        <w:spacing w:after="115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53EE295A" w14:textId="77777777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Strategické cíle, opatření a úkoly stanovuje vedení města Humpolce ve spolupráci s pověřenými orgány samosprávy či odbory městského úřadu. Jako řešitelé jsou uvedeny konkrétní odbory městského úřadu, kdy je za plnění úkolů odpovědný vedoucí daného odboru/příspěvkové organizace, který může úkoly delegovat dle kompetencí na své podřízené. Pověřený pracovník městského úřadu konzultuje průběh plnění úkolu s vedením města, případně s dalšími zapojenými kolegy (např. z jiného odboru městského úřadu) / subjekty (např. příspěvkovými organizacemi města) apod.  </w:t>
      </w:r>
    </w:p>
    <w:p w14:paraId="72B55322" w14:textId="77777777" w:rsidR="00CA7BE3" w:rsidRPr="003C66F4" w:rsidRDefault="00936435">
      <w:pPr>
        <w:spacing w:after="117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31433FB4" w14:textId="77777777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Akční plán si neklade za cíl postihnout veškeré akce a projekty, které město Humpolec bude v daném období připravovat či realizovat. Jde zejména o akce většího rozsahu a </w:t>
      </w:r>
      <w:r w:rsidRPr="003C66F4">
        <w:rPr>
          <w:rFonts w:ascii="Atyp BL Text" w:hAnsi="Atyp BL Text"/>
          <w:sz w:val="22"/>
          <w:szCs w:val="22"/>
        </w:rPr>
        <w:lastRenderedPageBreak/>
        <w:t xml:space="preserve">priority vycházející ze Strategického plánu rozvoje města Humpolce 2021-2030. Vedle akčního plánu je důležitým dokumentem také rozpočet města Humpolce vždy pro daný jeden rok, který detailně specifikuje všechny konkrétní příjmy a výdaje města, včetně těch investičních, pro konkrétní rok. Rozpočet města Humpolce schvaluje Zastupitelstvo města Humpolce. Všechny tři zmíněné dokumenty jsou závaznými dokumenty pro práci vedení města Humpolce, Radu a Zastupitelstvo města Humpolce, komise Rady města Humpolce, výbory Zastupitelstva města Humpolce, příspěvkové organizace města Humpolce a pro pracovníky Městského úřadu Humpolce.   </w:t>
      </w:r>
    </w:p>
    <w:p w14:paraId="7BEFBC12" w14:textId="77777777" w:rsidR="00CA7BE3" w:rsidRPr="003C66F4" w:rsidRDefault="00936435">
      <w:pPr>
        <w:spacing w:after="159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370EFD05" w14:textId="3E30805D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>Součástí vybraných opatření a úkolů jsou také činnosti související s osvětou široké veřejnosti. Osvětové a informační kampaně budou zpravidla dávány do souvislostí s tematickými oblastmi, které se v daném období / roce budou nejintenzivněji realizovat</w:t>
      </w:r>
      <w:r w:rsidR="003C66F4" w:rsidRPr="003C66F4">
        <w:rPr>
          <w:rFonts w:ascii="Atyp BL Text" w:hAnsi="Atyp BL Text"/>
          <w:sz w:val="22"/>
          <w:szCs w:val="22"/>
        </w:rPr>
        <w:t>.</w:t>
      </w: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550D73AB" w14:textId="77777777" w:rsidR="00CA7BE3" w:rsidRPr="003C66F4" w:rsidRDefault="00936435">
      <w:pPr>
        <w:spacing w:after="159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001B5293" w14:textId="77777777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Akční plán nastoluje ideální situaci, kdy se podaří v časovém předstihu stanovená opatření a stanovené úkoly vzhledem ke všem ovlivnitelným i neovlivnitelným okolnostem naplnit. Zároveň nepočítá s eventualitou proměny priorit plánovaných záměrů, pro které se v průběhu času mohou změnit podmínky, ať už pro jejich realizaci, nebo naopak proti jejich realizaci. Takové případné situace budou tematizovány ve zpětném vyhodnocení plnění jednotlivých strategických cílů v akčním plánu včetně zdůvodnění.  </w:t>
      </w:r>
    </w:p>
    <w:p w14:paraId="333B70A6" w14:textId="77777777" w:rsidR="00CA7BE3" w:rsidRPr="003C66F4" w:rsidRDefault="00936435">
      <w:pPr>
        <w:spacing w:after="159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 </w:t>
      </w:r>
    </w:p>
    <w:p w14:paraId="0A5D6055" w14:textId="77777777" w:rsidR="00CA7BE3" w:rsidRPr="003C66F4" w:rsidRDefault="00936435">
      <w:pPr>
        <w:ind w:left="-5" w:right="0"/>
        <w:rPr>
          <w:rFonts w:ascii="Atyp BL Text" w:hAnsi="Atyp BL Text"/>
          <w:sz w:val="22"/>
          <w:szCs w:val="22"/>
        </w:rPr>
      </w:pPr>
      <w:r w:rsidRPr="003C66F4">
        <w:rPr>
          <w:rFonts w:ascii="Atyp BL Text" w:hAnsi="Atyp BL Text"/>
          <w:sz w:val="22"/>
          <w:szCs w:val="22"/>
        </w:rPr>
        <w:t xml:space="preserve">Strategický plán rozvoje města Humpolce 2021-2030 schválilo Zastupitelstvo města Humpolce na svém veřejném zasedání 28. dubna 2021. Příslušné dokumenty jsou po svém schválení kompetentními orgány zveřejněny na webových stránkách města Humpolce.  </w:t>
      </w:r>
    </w:p>
    <w:p w14:paraId="3B455E71" w14:textId="77777777" w:rsidR="00CA7BE3" w:rsidRPr="003C66F4" w:rsidRDefault="00936435">
      <w:pPr>
        <w:spacing w:after="0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eastAsia="Times New Roman" w:hAnsi="Atyp BL Text" w:cs="Times New Roman"/>
          <w:sz w:val="22"/>
          <w:szCs w:val="22"/>
        </w:rPr>
        <w:t xml:space="preserve"> </w:t>
      </w:r>
    </w:p>
    <w:p w14:paraId="6F44EC6A" w14:textId="77777777" w:rsidR="00CA7BE3" w:rsidRPr="003C66F4" w:rsidRDefault="00936435">
      <w:pPr>
        <w:spacing w:after="0" w:line="259" w:lineRule="auto"/>
        <w:ind w:left="0" w:right="0" w:firstLine="0"/>
        <w:jc w:val="left"/>
        <w:rPr>
          <w:rFonts w:ascii="Atyp BL Text" w:hAnsi="Atyp BL Text"/>
          <w:sz w:val="22"/>
          <w:szCs w:val="22"/>
        </w:rPr>
      </w:pPr>
      <w:r w:rsidRPr="003C66F4">
        <w:rPr>
          <w:rFonts w:ascii="Atyp BL Text" w:eastAsia="Times New Roman" w:hAnsi="Atyp BL Text" w:cs="Times New Roman"/>
          <w:sz w:val="22"/>
          <w:szCs w:val="22"/>
        </w:rPr>
        <w:t xml:space="preserve"> </w:t>
      </w:r>
    </w:p>
    <w:sectPr w:rsidR="00CA7BE3" w:rsidRPr="003C66F4">
      <w:footerReference w:type="default" r:id="rId7"/>
      <w:pgSz w:w="11906" w:h="16838"/>
      <w:pgMar w:top="1465" w:right="1413" w:bottom="169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D012" w14:textId="77777777" w:rsidR="003C66F4" w:rsidRDefault="003C66F4" w:rsidP="003C66F4">
      <w:pPr>
        <w:spacing w:after="0" w:line="240" w:lineRule="auto"/>
      </w:pPr>
      <w:r>
        <w:separator/>
      </w:r>
    </w:p>
  </w:endnote>
  <w:endnote w:type="continuationSeparator" w:id="0">
    <w:p w14:paraId="3EBF838F" w14:textId="77777777" w:rsidR="003C66F4" w:rsidRDefault="003C66F4" w:rsidP="003C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328924"/>
      <w:docPartObj>
        <w:docPartGallery w:val="Page Numbers (Bottom of Page)"/>
        <w:docPartUnique/>
      </w:docPartObj>
    </w:sdtPr>
    <w:sdtEndPr>
      <w:rPr>
        <w:rFonts w:ascii="Atyp BL Text" w:hAnsi="Atyp BL Text"/>
      </w:rPr>
    </w:sdtEndPr>
    <w:sdtContent>
      <w:p w14:paraId="612A2D22" w14:textId="118B385F" w:rsidR="003C66F4" w:rsidRPr="003C66F4" w:rsidRDefault="003C66F4">
        <w:pPr>
          <w:pStyle w:val="Zpat"/>
          <w:jc w:val="center"/>
          <w:rPr>
            <w:rFonts w:ascii="Atyp BL Text" w:hAnsi="Atyp BL Text"/>
          </w:rPr>
        </w:pPr>
        <w:r w:rsidRPr="003C66F4">
          <w:rPr>
            <w:rFonts w:ascii="Atyp BL Text" w:hAnsi="Atyp BL Text"/>
          </w:rPr>
          <w:fldChar w:fldCharType="begin"/>
        </w:r>
        <w:r w:rsidRPr="003C66F4">
          <w:rPr>
            <w:rFonts w:ascii="Atyp BL Text" w:hAnsi="Atyp BL Text"/>
          </w:rPr>
          <w:instrText>PAGE   \* MERGEFORMAT</w:instrText>
        </w:r>
        <w:r w:rsidRPr="003C66F4">
          <w:rPr>
            <w:rFonts w:ascii="Atyp BL Text" w:hAnsi="Atyp BL Text"/>
          </w:rPr>
          <w:fldChar w:fldCharType="separate"/>
        </w:r>
        <w:r w:rsidRPr="003C66F4">
          <w:rPr>
            <w:rFonts w:ascii="Atyp BL Text" w:hAnsi="Atyp BL Text"/>
          </w:rPr>
          <w:t>2</w:t>
        </w:r>
        <w:r w:rsidRPr="003C66F4">
          <w:rPr>
            <w:rFonts w:ascii="Atyp BL Text" w:hAnsi="Atyp BL Text"/>
          </w:rPr>
          <w:fldChar w:fldCharType="end"/>
        </w:r>
      </w:p>
    </w:sdtContent>
  </w:sdt>
  <w:p w14:paraId="1A313052" w14:textId="77777777" w:rsidR="003C66F4" w:rsidRDefault="003C6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169A" w14:textId="77777777" w:rsidR="003C66F4" w:rsidRDefault="003C66F4" w:rsidP="003C66F4">
      <w:pPr>
        <w:spacing w:after="0" w:line="240" w:lineRule="auto"/>
      </w:pPr>
      <w:r>
        <w:separator/>
      </w:r>
    </w:p>
  </w:footnote>
  <w:footnote w:type="continuationSeparator" w:id="0">
    <w:p w14:paraId="26F74089" w14:textId="77777777" w:rsidR="003C66F4" w:rsidRDefault="003C66F4" w:rsidP="003C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97771"/>
    <w:multiLevelType w:val="hybridMultilevel"/>
    <w:tmpl w:val="D67E381A"/>
    <w:lvl w:ilvl="0" w:tplc="B19EA5B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CE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80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458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8FD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2CA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CF9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007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89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91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E3"/>
    <w:rsid w:val="003C66F4"/>
    <w:rsid w:val="005930BA"/>
    <w:rsid w:val="00936435"/>
    <w:rsid w:val="00977F5B"/>
    <w:rsid w:val="00CA7BE3"/>
    <w:rsid w:val="00E85D34"/>
    <w:rsid w:val="00E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8F3D"/>
  <w15:docId w15:val="{0D67D07B-5FF6-4488-BFEB-7E22843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382" w:lineRule="auto"/>
      <w:ind w:left="10" w:right="9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6F4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3C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6F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mluvci</dc:creator>
  <cp:keywords/>
  <cp:lastModifiedBy>Petr Machek</cp:lastModifiedBy>
  <cp:revision>5</cp:revision>
  <dcterms:created xsi:type="dcterms:W3CDTF">2024-04-10T06:27:00Z</dcterms:created>
  <dcterms:modified xsi:type="dcterms:W3CDTF">2024-06-12T11:43:00Z</dcterms:modified>
</cp:coreProperties>
</file>