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E336" w14:textId="78E355FE" w:rsidR="00D5319E" w:rsidRDefault="00D5319E" w:rsidP="00DD49F0">
      <w:pPr>
        <w:pStyle w:val="Nzev"/>
        <w:rPr>
          <w:rFonts w:ascii="Arial" w:eastAsia="Calibri" w:hAnsi="Arial" w:cs="Arial"/>
          <w:b w:val="0"/>
          <w:bCs/>
          <w:color w:val="auto"/>
          <w:kern w:val="0"/>
          <w:sz w:val="28"/>
          <w:szCs w:val="28"/>
          <w14:ligatures w14:val="none"/>
        </w:rPr>
      </w:pPr>
      <w:bookmarkStart w:id="1" w:name="_Hlk24104355"/>
      <w:r w:rsidRPr="00D5319E">
        <w:rPr>
          <w:rFonts w:ascii="Arial" w:eastAsia="Calibri" w:hAnsi="Arial" w:cs="Arial"/>
          <w:b w:val="0"/>
          <w:bCs/>
          <w:color w:val="auto"/>
          <w:kern w:val="0"/>
          <w:sz w:val="28"/>
          <w:szCs w:val="28"/>
          <w14:ligatures w14:val="none"/>
        </w:rPr>
        <w:t>Směrnice č. 3/2026/TA</w:t>
      </w:r>
    </w:p>
    <w:p w14:paraId="38A750F8" w14:textId="77777777" w:rsidR="00D5319E" w:rsidRPr="00D5319E" w:rsidRDefault="00D5319E" w:rsidP="00D5319E"/>
    <w:p w14:paraId="3CCC688E" w14:textId="2AB48F3D" w:rsidR="006A0C58" w:rsidRDefault="002D66B2" w:rsidP="00DD49F0">
      <w:pPr>
        <w:pStyle w:val="Nzev"/>
      </w:pPr>
      <w:r w:rsidRPr="002D66B2">
        <w:rPr>
          <w:rFonts w:ascii="Arial" w:eastAsia="Calibri" w:hAnsi="Arial" w:cs="Arial"/>
          <w:color w:val="auto"/>
          <w:kern w:val="0"/>
          <w:sz w:val="28"/>
          <w:szCs w:val="28"/>
          <w14:ligatures w14:val="none"/>
        </w:rPr>
        <w:t>Směrnice upravující vztahy v oblasti uložených pokut rybářskou stráží</w:t>
      </w:r>
    </w:p>
    <w:p w14:paraId="08D3D114" w14:textId="77777777" w:rsidR="002D66B2" w:rsidRDefault="002D66B2" w:rsidP="002D66B2">
      <w:pPr>
        <w:pStyle w:val="Podnadpis"/>
        <w:jc w:val="center"/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</w:pPr>
      <w:r w:rsidRPr="002D66B2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>Článek 1</w:t>
      </w:r>
    </w:p>
    <w:p w14:paraId="4108964D" w14:textId="77777777" w:rsidR="000275DB" w:rsidRDefault="002D66B2" w:rsidP="002D66B2">
      <w:pPr>
        <w:pStyle w:val="Podnadpis"/>
        <w:jc w:val="center"/>
      </w:pPr>
      <w:r w:rsidRPr="002D66B2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>Základní ustanovení</w:t>
      </w:r>
    </w:p>
    <w:p w14:paraId="017ADDFF" w14:textId="0C31987F" w:rsidR="002D66B2" w:rsidRPr="002D66B2" w:rsidRDefault="002D66B2" w:rsidP="002D66B2">
      <w:pPr>
        <w:pStyle w:val="Odstavecseseznamem"/>
        <w:numPr>
          <w:ilvl w:val="0"/>
          <w:numId w:val="15"/>
        </w:numPr>
        <w:spacing w:after="240"/>
        <w:rPr>
          <w:szCs w:val="20"/>
        </w:rPr>
      </w:pPr>
      <w:r w:rsidRPr="002D66B2">
        <w:rPr>
          <w:rFonts w:ascii="Arial" w:eastAsia="Calibri" w:hAnsi="Arial" w:cs="Arial"/>
          <w:color w:val="auto"/>
          <w:kern w:val="0"/>
          <w:szCs w:val="20"/>
          <w14:ligatures w14:val="none"/>
        </w:rPr>
        <w:t>Tajemník Městského úřadu Humpolec vydává dne …… v souladu s ustanovením § 110 odst. 4 písm. e) zákona č. 128/2000 Sb., o obcích</w:t>
      </w:r>
      <w:r w:rsidR="00234204">
        <w:rPr>
          <w:rFonts w:ascii="Arial" w:eastAsia="Calibri" w:hAnsi="Arial" w:cs="Arial"/>
          <w:color w:val="auto"/>
          <w:kern w:val="0"/>
          <w:szCs w:val="20"/>
          <w14:ligatures w14:val="none"/>
        </w:rPr>
        <w:t xml:space="preserve"> (obecní zřízení)</w:t>
      </w:r>
      <w:r w:rsidRPr="002D66B2">
        <w:rPr>
          <w:rFonts w:ascii="Arial" w:eastAsia="Calibri" w:hAnsi="Arial" w:cs="Arial"/>
          <w:color w:val="auto"/>
          <w:kern w:val="0"/>
          <w:szCs w:val="20"/>
          <w14:ligatures w14:val="none"/>
        </w:rPr>
        <w:t>, ve znění pozdějších předpisů</w:t>
      </w:r>
      <w:r w:rsidR="00234204">
        <w:rPr>
          <w:rFonts w:ascii="Arial" w:eastAsia="Calibri" w:hAnsi="Arial" w:cs="Arial"/>
          <w:color w:val="auto"/>
          <w:kern w:val="0"/>
          <w:szCs w:val="20"/>
          <w14:ligatures w14:val="none"/>
        </w:rPr>
        <w:t>,</w:t>
      </w:r>
      <w:r w:rsidRPr="002D66B2">
        <w:rPr>
          <w:rFonts w:ascii="Arial" w:eastAsia="Calibri" w:hAnsi="Arial" w:cs="Arial"/>
          <w:color w:val="auto"/>
          <w:kern w:val="0"/>
          <w:szCs w:val="20"/>
          <w14:ligatures w14:val="none"/>
        </w:rPr>
        <w:t xml:space="preserve"> tuto vnitřní směrnici.</w:t>
      </w:r>
    </w:p>
    <w:p w14:paraId="61A320D4" w14:textId="77777777" w:rsidR="002D66B2" w:rsidRPr="002D66B2" w:rsidRDefault="002D66B2" w:rsidP="002D66B2">
      <w:pPr>
        <w:pStyle w:val="Odstavecseseznamem"/>
        <w:numPr>
          <w:ilvl w:val="0"/>
          <w:numId w:val="15"/>
        </w:numPr>
        <w:spacing w:before="120"/>
        <w:ind w:left="714" w:hanging="357"/>
        <w:rPr>
          <w:szCs w:val="20"/>
        </w:rPr>
      </w:pPr>
      <w:r w:rsidRPr="002D66B2">
        <w:rPr>
          <w:rFonts w:ascii="Arial" w:eastAsia="Calibri" w:hAnsi="Arial" w:cs="Arial"/>
          <w:color w:val="auto"/>
          <w:kern w:val="0"/>
          <w:szCs w:val="20"/>
          <w14:ligatures w14:val="none"/>
        </w:rPr>
        <w:t>Tato Směrnice upravuje postup při ukládání pokut za přestupky dle zákona č. 99/2004 Sb., o rybníkářství, výkonu rybářského práva, rybářské stráži, ochraně mořských rybolovných zdrojů a o změně některých zákonů, ve znění pozdějších předpisů (dále jen „zákon o rybářství“), ukládané rybářskou stráží příkazem na místě.</w:t>
      </w:r>
    </w:p>
    <w:p w14:paraId="4A2F50C3" w14:textId="77777777" w:rsidR="007E507E" w:rsidRPr="002D66B2" w:rsidRDefault="002D66B2" w:rsidP="002D66B2">
      <w:pPr>
        <w:pStyle w:val="Odstavecseseznamem"/>
        <w:numPr>
          <w:ilvl w:val="0"/>
          <w:numId w:val="15"/>
        </w:numPr>
        <w:spacing w:before="120"/>
        <w:ind w:left="714" w:hanging="357"/>
        <w:rPr>
          <w:szCs w:val="20"/>
        </w:rPr>
      </w:pPr>
      <w:r w:rsidRPr="002D66B2">
        <w:rPr>
          <w:rFonts w:ascii="Arial" w:eastAsia="Calibri" w:hAnsi="Arial" w:cs="Arial"/>
          <w:color w:val="auto"/>
          <w:kern w:val="0"/>
          <w:szCs w:val="20"/>
          <w14:ligatures w14:val="none"/>
        </w:rPr>
        <w:t>Vychází ze zákona č. 250/2016 Sb., o odpovědnosti za přestupky a řízení o nich, ve znění pozdějších předpisů (dále jen „zákon o odpovědnosti za přestupky“), a to v návaznosti na ustanovení § 92 zákona o odpovědnosti za přestupky (Příkaz na místě a příkazový blok).</w:t>
      </w:r>
    </w:p>
    <w:p w14:paraId="143A35CA" w14:textId="77777777" w:rsidR="002D66B2" w:rsidRPr="002D66B2" w:rsidRDefault="002D66B2" w:rsidP="002D66B2">
      <w:pPr>
        <w:pStyle w:val="Odstavecseseznamem"/>
        <w:rPr>
          <w:szCs w:val="20"/>
        </w:rPr>
      </w:pPr>
    </w:p>
    <w:p w14:paraId="182E3DE8" w14:textId="77777777" w:rsidR="002D66B2" w:rsidRPr="002D66B2" w:rsidRDefault="002D66B2" w:rsidP="002D66B2">
      <w:pPr>
        <w:pStyle w:val="Podnadpis"/>
        <w:jc w:val="center"/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</w:pPr>
      <w:r w:rsidRPr="002D66B2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>Článek 2</w:t>
      </w:r>
    </w:p>
    <w:p w14:paraId="4109B79C" w14:textId="77777777" w:rsidR="002D66B2" w:rsidRDefault="002D66B2" w:rsidP="002D66B2">
      <w:pPr>
        <w:pStyle w:val="Podnadpis"/>
        <w:jc w:val="center"/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</w:pPr>
      <w:r w:rsidRPr="002D66B2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>Vymezení pojmů</w:t>
      </w:r>
    </w:p>
    <w:p w14:paraId="2CD5BCB5" w14:textId="77777777" w:rsidR="002D66B2" w:rsidRPr="00B77398" w:rsidRDefault="002D66B2" w:rsidP="005A32AB">
      <w:pPr>
        <w:spacing w:after="0"/>
        <w:ind w:left="720"/>
        <w:jc w:val="left"/>
        <w:rPr>
          <w:rFonts w:ascii="Arial" w:hAnsi="Arial" w:cs="Arial"/>
        </w:rPr>
      </w:pPr>
      <w:r w:rsidRPr="00B77398">
        <w:rPr>
          <w:rFonts w:ascii="Arial" w:hAnsi="Arial" w:cs="Arial"/>
        </w:rPr>
        <w:t>Pro účely této Směrnice se rozumí:</w:t>
      </w:r>
    </w:p>
    <w:p w14:paraId="1EB527D9" w14:textId="77777777" w:rsidR="002D66B2" w:rsidRPr="00B77398" w:rsidRDefault="002D66B2" w:rsidP="002D66B2">
      <w:pPr>
        <w:numPr>
          <w:ilvl w:val="0"/>
          <w:numId w:val="17"/>
        </w:numPr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EO</w:t>
      </w:r>
      <w:r w:rsidRPr="00B7739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ekonomický</w:t>
      </w:r>
      <w:r w:rsidRPr="00B77398">
        <w:rPr>
          <w:rFonts w:ascii="Arial" w:hAnsi="Arial" w:cs="Arial"/>
        </w:rPr>
        <w:t xml:space="preserve"> odbor</w:t>
      </w:r>
    </w:p>
    <w:p w14:paraId="26C67D3C" w14:textId="79495B1E" w:rsidR="002D66B2" w:rsidRDefault="00FD058D" w:rsidP="002D66B2">
      <w:pPr>
        <w:numPr>
          <w:ilvl w:val="0"/>
          <w:numId w:val="17"/>
        </w:numPr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OŽPaPP</w:t>
      </w:r>
      <w:r w:rsidR="002D66B2" w:rsidRPr="00B77398">
        <w:rPr>
          <w:rFonts w:ascii="Arial" w:hAnsi="Arial" w:cs="Arial"/>
        </w:rPr>
        <w:t xml:space="preserve"> – odbor životního prostředí</w:t>
      </w:r>
      <w:r w:rsidR="00E260FD">
        <w:rPr>
          <w:rFonts w:ascii="Arial" w:hAnsi="Arial" w:cs="Arial"/>
        </w:rPr>
        <w:t xml:space="preserve"> a památkové péče</w:t>
      </w:r>
    </w:p>
    <w:p w14:paraId="27BF32A0" w14:textId="77777777" w:rsidR="002D66B2" w:rsidRPr="008B402A" w:rsidRDefault="00A86A22" w:rsidP="002D66B2">
      <w:pPr>
        <w:numPr>
          <w:ilvl w:val="0"/>
          <w:numId w:val="17"/>
        </w:numPr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OT</w:t>
      </w:r>
      <w:r w:rsidR="002D66B2" w:rsidRPr="008B402A">
        <w:rPr>
          <w:rFonts w:ascii="Arial" w:hAnsi="Arial" w:cs="Arial"/>
        </w:rPr>
        <w:t xml:space="preserve"> – odbor </w:t>
      </w:r>
      <w:r>
        <w:rPr>
          <w:rFonts w:ascii="Arial" w:hAnsi="Arial" w:cs="Arial"/>
        </w:rPr>
        <w:t>tajemníka</w:t>
      </w:r>
    </w:p>
    <w:p w14:paraId="6D05F711" w14:textId="2E9E241F" w:rsidR="002D66B2" w:rsidRPr="00F07C73" w:rsidRDefault="005A32AB" w:rsidP="002D66B2">
      <w:pPr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RS – rybářská</w:t>
      </w:r>
      <w:r w:rsidR="002D66B2" w:rsidRPr="00F07C73">
        <w:rPr>
          <w:rFonts w:ascii="Arial" w:hAnsi="Arial" w:cs="Arial"/>
        </w:rPr>
        <w:t xml:space="preserve"> stráž – fyzická osoba, kterou ustanovuje, odvolává, zrušuje a stanovuje rozsah působnosti na návrh uživatele rybářského revíru či jiného oprávněného subjektu obecní úřad obce s rozšířenou působností, příslušný podle místa trvalého bydliště navrhované osoby, ve smyslu ustanovení § 14 zákona o rybářství. Rybářská stráž je zároveň správní orgán ve smyslu § 1 odst. 1 zákona č. 500/2004 Sb., správní řád, ve znění pozdějších předpisů, neboť jde o fyzickou osobu, které byl na základě a v souladu se zákonem svěřen výkon státní správy.</w:t>
      </w:r>
    </w:p>
    <w:p w14:paraId="18E44A4E" w14:textId="77777777" w:rsidR="00A86A22" w:rsidRPr="00A86A22" w:rsidRDefault="00A86A22" w:rsidP="00A86A22">
      <w:pPr>
        <w:pStyle w:val="Podnadpis"/>
        <w:jc w:val="center"/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</w:pPr>
      <w:r w:rsidRPr="00A86A22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>Článek 3</w:t>
      </w:r>
    </w:p>
    <w:p w14:paraId="09034105" w14:textId="77777777" w:rsidR="00A86A22" w:rsidRPr="00A86A22" w:rsidRDefault="00A86A22" w:rsidP="00A86A22">
      <w:pPr>
        <w:pStyle w:val="Podnadpis"/>
        <w:jc w:val="center"/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</w:pPr>
      <w:r w:rsidRPr="00A86A22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>Rybářská stráž</w:t>
      </w:r>
    </w:p>
    <w:p w14:paraId="5CE21682" w14:textId="22D57DF4" w:rsidR="00A86A22" w:rsidRPr="00EC57E6" w:rsidRDefault="00A86A22" w:rsidP="00A86A22">
      <w:pPr>
        <w:numPr>
          <w:ilvl w:val="0"/>
          <w:numId w:val="19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Rybářskou stráží, </w:t>
      </w:r>
      <w:r w:rsidRPr="00F07C73">
        <w:rPr>
          <w:rFonts w:ascii="Arial" w:hAnsi="Arial" w:cs="Arial"/>
        </w:rPr>
        <w:t xml:space="preserve">ustanovenou Městským úřadem </w:t>
      </w:r>
      <w:r>
        <w:rPr>
          <w:rFonts w:ascii="Arial" w:hAnsi="Arial" w:cs="Arial"/>
        </w:rPr>
        <w:t>Humpolec</w:t>
      </w:r>
      <w:r w:rsidRPr="00F07C73">
        <w:rPr>
          <w:rFonts w:ascii="Arial" w:hAnsi="Arial" w:cs="Arial"/>
        </w:rPr>
        <w:t>,</w:t>
      </w:r>
      <w:r w:rsidR="00D54CEF">
        <w:rPr>
          <w:rFonts w:ascii="Arial" w:hAnsi="Arial" w:cs="Arial"/>
        </w:rPr>
        <w:t xml:space="preserve"> OŽPaPP</w:t>
      </w:r>
      <w:r w:rsidRPr="00F07C73">
        <w:rPr>
          <w:rFonts w:ascii="Arial" w:hAnsi="Arial" w:cs="Arial"/>
        </w:rPr>
        <w:t xml:space="preserve">, která je oprávněna projednat přestupky příkazem na místě dle § 16 písm. e) </w:t>
      </w:r>
      <w:r w:rsidRPr="00EC57E6">
        <w:rPr>
          <w:rFonts w:ascii="Arial" w:hAnsi="Arial" w:cs="Arial"/>
          <w:color w:val="auto"/>
        </w:rPr>
        <w:t>zákona o rybářství, se pro účely této směrnice rozumí jmenovitě:</w:t>
      </w:r>
    </w:p>
    <w:p w14:paraId="6886742F" w14:textId="376331DC" w:rsidR="00A86A22" w:rsidRPr="00EC57E6" w:rsidRDefault="00875CF8" w:rsidP="00A86A22">
      <w:pPr>
        <w:pStyle w:val="Odstavecseseznamem"/>
        <w:numPr>
          <w:ilvl w:val="0"/>
          <w:numId w:val="21"/>
        </w:numPr>
        <w:spacing w:after="0"/>
        <w:rPr>
          <w:rFonts w:ascii="Arial" w:hAnsi="Arial" w:cs="Arial"/>
          <w:color w:val="auto"/>
        </w:rPr>
      </w:pPr>
      <w:r w:rsidRPr="00EC57E6">
        <w:rPr>
          <w:rFonts w:ascii="Arial" w:hAnsi="Arial" w:cs="Arial"/>
          <w:color w:val="auto"/>
        </w:rPr>
        <w:t>Marian Satrapa</w:t>
      </w:r>
      <w:r w:rsidR="00A86A22" w:rsidRPr="00EC57E6">
        <w:rPr>
          <w:rFonts w:ascii="Arial" w:hAnsi="Arial" w:cs="Arial"/>
          <w:color w:val="auto"/>
        </w:rPr>
        <w:t xml:space="preserve"> – služební odznak č.  …., nar.  …….., trvale bytem ……………………., ustanovený rybářskou stráží dne ……….. pod č. j.  ……………..,</w:t>
      </w:r>
    </w:p>
    <w:p w14:paraId="09240BB0" w14:textId="34039F61" w:rsidR="00A86A22" w:rsidRPr="00EC57E6" w:rsidRDefault="00875CF8" w:rsidP="00A86A22">
      <w:pPr>
        <w:numPr>
          <w:ilvl w:val="0"/>
          <w:numId w:val="21"/>
        </w:numPr>
        <w:spacing w:after="0"/>
        <w:rPr>
          <w:rFonts w:ascii="Arial" w:hAnsi="Arial" w:cs="Arial"/>
          <w:color w:val="auto"/>
        </w:rPr>
      </w:pPr>
      <w:r w:rsidRPr="00EC57E6">
        <w:rPr>
          <w:rFonts w:ascii="Arial" w:hAnsi="Arial" w:cs="Arial"/>
          <w:color w:val="auto"/>
        </w:rPr>
        <w:lastRenderedPageBreak/>
        <w:t>Miloslav Fojtík</w:t>
      </w:r>
      <w:r w:rsidR="00D54CEF">
        <w:rPr>
          <w:rFonts w:ascii="Arial" w:hAnsi="Arial" w:cs="Arial"/>
          <w:color w:val="auto"/>
        </w:rPr>
        <w:t xml:space="preserve"> </w:t>
      </w:r>
      <w:r w:rsidR="00A86A22" w:rsidRPr="00EC57E6">
        <w:rPr>
          <w:rFonts w:ascii="Arial" w:hAnsi="Arial" w:cs="Arial"/>
          <w:color w:val="auto"/>
        </w:rPr>
        <w:t>– služební odznak č.  …., nar.  …….., trvale bytem ……………………., ustanovený rybářskou stráží dne ……….. pod č. j.  ……………..,</w:t>
      </w:r>
    </w:p>
    <w:p w14:paraId="46779C8E" w14:textId="2C00271B" w:rsidR="00A86A22" w:rsidRPr="00875CF8" w:rsidRDefault="00A86A22" w:rsidP="00EC57E6">
      <w:pPr>
        <w:spacing w:after="0"/>
        <w:ind w:left="1080"/>
        <w:rPr>
          <w:rFonts w:ascii="Arial" w:hAnsi="Arial" w:cs="Arial"/>
          <w:color w:val="EE0000"/>
        </w:rPr>
      </w:pPr>
    </w:p>
    <w:p w14:paraId="1433F64F" w14:textId="77777777" w:rsidR="0074218E" w:rsidRDefault="00A86A22" w:rsidP="0074218E">
      <w:pPr>
        <w:pStyle w:val="Odstavecseseznamem"/>
        <w:numPr>
          <w:ilvl w:val="0"/>
          <w:numId w:val="19"/>
        </w:numPr>
        <w:spacing w:after="0"/>
        <w:rPr>
          <w:rFonts w:ascii="Arial" w:hAnsi="Arial" w:cs="Arial"/>
        </w:rPr>
      </w:pPr>
      <w:r w:rsidRPr="00A86A22">
        <w:rPr>
          <w:rFonts w:ascii="Arial" w:hAnsi="Arial" w:cs="Arial"/>
        </w:rPr>
        <w:t xml:space="preserve">Evidenci RS, které byly ustanoveny v obvodu působnosti úřadu obce s rozšířenou působností </w:t>
      </w:r>
      <w:r>
        <w:rPr>
          <w:rFonts w:ascii="Arial" w:hAnsi="Arial" w:cs="Arial"/>
        </w:rPr>
        <w:t>Humpolec</w:t>
      </w:r>
      <w:r w:rsidRPr="00A86A22">
        <w:rPr>
          <w:rFonts w:ascii="Arial" w:hAnsi="Arial" w:cs="Arial"/>
        </w:rPr>
        <w:t xml:space="preserve"> podle místa trvalého bydliště RS, vede Městský úřad </w:t>
      </w:r>
      <w:r>
        <w:rPr>
          <w:rFonts w:ascii="Arial" w:hAnsi="Arial" w:cs="Arial"/>
        </w:rPr>
        <w:t>Humpolec</w:t>
      </w:r>
      <w:r w:rsidRPr="00A86A22">
        <w:rPr>
          <w:rFonts w:ascii="Arial" w:hAnsi="Arial" w:cs="Arial"/>
        </w:rPr>
        <w:t xml:space="preserve">, </w:t>
      </w:r>
      <w:r w:rsidR="00D54CEF">
        <w:rPr>
          <w:rFonts w:ascii="Arial" w:hAnsi="Arial" w:cs="Arial"/>
        </w:rPr>
        <w:t>O</w:t>
      </w:r>
      <w:r w:rsidRPr="00A86A22">
        <w:rPr>
          <w:rFonts w:ascii="Arial" w:hAnsi="Arial" w:cs="Arial"/>
        </w:rPr>
        <w:t>ŽP</w:t>
      </w:r>
      <w:r w:rsidR="00D54CEF">
        <w:rPr>
          <w:rFonts w:ascii="Arial" w:hAnsi="Arial" w:cs="Arial"/>
        </w:rPr>
        <w:t>aPP</w:t>
      </w:r>
      <w:r w:rsidRPr="00A86A22">
        <w:rPr>
          <w:rFonts w:ascii="Arial" w:hAnsi="Arial" w:cs="Arial"/>
        </w:rPr>
        <w:t>.</w:t>
      </w:r>
    </w:p>
    <w:p w14:paraId="0DD4DC65" w14:textId="368E924D" w:rsidR="00A86A22" w:rsidRPr="0074218E" w:rsidRDefault="00A86A22" w:rsidP="0074218E">
      <w:pPr>
        <w:pStyle w:val="Odstavecseseznamem"/>
        <w:numPr>
          <w:ilvl w:val="0"/>
          <w:numId w:val="19"/>
        </w:numPr>
        <w:spacing w:after="0"/>
        <w:rPr>
          <w:rFonts w:ascii="Arial" w:hAnsi="Arial" w:cs="Arial"/>
        </w:rPr>
      </w:pPr>
      <w:r w:rsidRPr="0074218E">
        <w:rPr>
          <w:rFonts w:ascii="Arial" w:hAnsi="Arial" w:cs="Arial"/>
        </w:rPr>
        <w:t xml:space="preserve">RS není zařazena do Organizačního řádu Městského úřadu Humpolec vydaného v souladu s § 102 odst. 2 písm. m) zákona č. 128/2000 Sb., o obcích, ani není zaměstnancem města Humpolec. </w:t>
      </w:r>
    </w:p>
    <w:p w14:paraId="3A17B92D" w14:textId="168F62A6" w:rsidR="00A86A22" w:rsidRPr="00544B78" w:rsidRDefault="00A86A22" w:rsidP="00A86A22">
      <w:pPr>
        <w:numPr>
          <w:ilvl w:val="0"/>
          <w:numId w:val="19"/>
        </w:numPr>
        <w:spacing w:after="0"/>
        <w:rPr>
          <w:rFonts w:ascii="Arial" w:hAnsi="Arial" w:cs="Arial"/>
        </w:rPr>
      </w:pPr>
      <w:r w:rsidRPr="00A86A22">
        <w:rPr>
          <w:rFonts w:ascii="Arial" w:hAnsi="Arial" w:cs="Arial"/>
        </w:rPr>
        <w:t xml:space="preserve">RS je oprávněna užívat v souladu s ustanovením § 2 odst. 1 písm. t) zákona č. 352/2001 Sb., o užívání státních symbolů České republiky a o změně některých zákonů, ve znění pozdějších předpisů, úřední kulaté razítko s malým státním znakem, neboť se jedná o fyzickou osobu, které je zákonem nebo na základě zákona svěřen výkon státní správy. Úřední razítko vytvářející otisk kruhového tvaru o průměru 25 mm, na němž je vyznačen malý státní znak, jméno, příjmení, číslo RS a označení obecního úřadu obce s rozšířenou působností, který RS ustanovil (dále jen „úřední </w:t>
      </w:r>
      <w:r w:rsidRPr="00D95E3B">
        <w:rPr>
          <w:rFonts w:ascii="Arial" w:hAnsi="Arial" w:cs="Arial"/>
        </w:rPr>
        <w:t xml:space="preserve">razítko“), zajišťuje OT. Protokolárně RS předává úřední razítko a vede evidenci úředních razítek </w:t>
      </w:r>
      <w:r w:rsidRPr="00544B78">
        <w:rPr>
          <w:rFonts w:ascii="Arial" w:hAnsi="Arial" w:cs="Arial"/>
        </w:rPr>
        <w:t xml:space="preserve">předaných RS </w:t>
      </w:r>
      <w:r w:rsidR="00772DBF">
        <w:rPr>
          <w:rFonts w:ascii="Arial" w:hAnsi="Arial" w:cs="Arial"/>
        </w:rPr>
        <w:t>OT.</w:t>
      </w:r>
    </w:p>
    <w:p w14:paraId="3B27CCD0" w14:textId="75D29BD6" w:rsidR="00A86A22" w:rsidRPr="00544B78" w:rsidRDefault="00A86A22" w:rsidP="00A86A22">
      <w:pPr>
        <w:numPr>
          <w:ilvl w:val="0"/>
          <w:numId w:val="19"/>
        </w:numPr>
        <w:spacing w:after="0"/>
        <w:rPr>
          <w:rFonts w:ascii="Arial" w:hAnsi="Arial" w:cs="Arial"/>
        </w:rPr>
      </w:pPr>
      <w:r w:rsidRPr="00544B78">
        <w:rPr>
          <w:rFonts w:ascii="Arial" w:hAnsi="Arial" w:cs="Arial"/>
        </w:rPr>
        <w:t xml:space="preserve">RS je při výkonu své funkce oprávněna mimo jiné vstupovat na pozemky, stavby, jezy, rybí přechody a jiná zařízení, dále je oprávněna kontrolovat osobám lovícím ryby rybářské nářadí, obsah rybářské loďky, nádrže nebo jiného zařízení užitého k uchování ryb a rybářské úlovky, a dále je oprávněna kontrolovat způsob a rozsah užívání vod a jejich kvalitu, případně může využívat další oprávnění zakotvené v ustanovení § 16 zákona o rybářství. Za tímto účelem se RS pohybuje převážně v terénu. Vzhledem k tomuto specifickému postavení </w:t>
      </w:r>
      <w:r w:rsidRPr="00764FC0">
        <w:rPr>
          <w:rFonts w:ascii="Arial" w:hAnsi="Arial" w:cs="Arial"/>
        </w:rPr>
        <w:t>RS, může úřad obce s rozšířenou působností, který RS ustanovil, poskytnout RS výstroj a materiální vybavení. Za výstroj se považuje zejména stejnokroj RS, oblečení do terénu a ochranné pomůcky. Za materiální vybavení se považuje zejména, úřední razítko, případně další součásti potřebné v souvislosti s výkonem funkce</w:t>
      </w:r>
      <w:r w:rsidRPr="00544B78">
        <w:rPr>
          <w:rFonts w:ascii="Arial" w:hAnsi="Arial" w:cs="Arial"/>
        </w:rPr>
        <w:t xml:space="preserve"> RS. Na poskytnutí výstroje a materiálního vybavení nevzniká nárok a řídí se výhradně možnostmi rozpočtu Městského úřadu </w:t>
      </w:r>
      <w:r w:rsidR="00D95E3B" w:rsidRPr="00544B78">
        <w:rPr>
          <w:rFonts w:ascii="Arial" w:hAnsi="Arial" w:cs="Arial"/>
        </w:rPr>
        <w:t>Humpolec</w:t>
      </w:r>
      <w:r w:rsidRPr="00544B78">
        <w:rPr>
          <w:rFonts w:ascii="Arial" w:hAnsi="Arial" w:cs="Arial"/>
        </w:rPr>
        <w:t xml:space="preserve"> (města </w:t>
      </w:r>
      <w:r w:rsidR="00D95E3B" w:rsidRPr="00544B78">
        <w:rPr>
          <w:rFonts w:ascii="Arial" w:hAnsi="Arial" w:cs="Arial"/>
        </w:rPr>
        <w:t>Humpolec</w:t>
      </w:r>
      <w:r w:rsidRPr="00544B78">
        <w:rPr>
          <w:rFonts w:ascii="Arial" w:hAnsi="Arial" w:cs="Arial"/>
        </w:rPr>
        <w:t xml:space="preserve">) pro daný rok. </w:t>
      </w:r>
    </w:p>
    <w:p w14:paraId="00E91CC3" w14:textId="2621BB5A" w:rsidR="00A86A22" w:rsidRPr="00544B78" w:rsidRDefault="00A86A22" w:rsidP="00A86A22">
      <w:pPr>
        <w:numPr>
          <w:ilvl w:val="0"/>
          <w:numId w:val="19"/>
        </w:numPr>
        <w:spacing w:after="0"/>
        <w:rPr>
          <w:rFonts w:ascii="Arial" w:hAnsi="Arial" w:cs="Arial"/>
        </w:rPr>
      </w:pPr>
      <w:r w:rsidRPr="00544B78">
        <w:rPr>
          <w:rFonts w:ascii="Arial" w:hAnsi="Arial" w:cs="Arial"/>
        </w:rPr>
        <w:t xml:space="preserve">Poskytnutou výstroj a materiální vybavení dle čl. 3 odst. 5 </w:t>
      </w:r>
      <w:r w:rsidR="00347EFB">
        <w:rPr>
          <w:rFonts w:ascii="Arial" w:hAnsi="Arial" w:cs="Arial"/>
        </w:rPr>
        <w:t xml:space="preserve">této Směrnice </w:t>
      </w:r>
      <w:r w:rsidRPr="00544B78">
        <w:rPr>
          <w:rFonts w:ascii="Arial" w:hAnsi="Arial" w:cs="Arial"/>
        </w:rPr>
        <w:t xml:space="preserve">je povinna RS používat šetrně a svědomitě o ně pečovat. V případě poskytnutí výstroje je RS povinna v maximální možné míře dodržovat ústrojovou kázeň, kterou se rozumí používání doporučeného stejnokroje s řádně připevněným služebním číslem RS obsahující text „RYBÁŘSKÁ STRÁŽ“ (na suchý zip) a služebním odznakem RS (na knoflík) na svrchním dílu stejnokroje. Doporučeným stejnokrojem se rozumí standardizovaný komplet oděvů do přírody (letní a zimní varianta) specializovaného výrobce oděvů </w:t>
      </w:r>
      <w:r w:rsidRPr="00933E45">
        <w:rPr>
          <w:rFonts w:ascii="Arial" w:hAnsi="Arial" w:cs="Arial"/>
          <w:color w:val="auto"/>
        </w:rPr>
        <w:t>sestavený pro daný rok na základě požadavků uživatel</w:t>
      </w:r>
      <w:r w:rsidR="00123A4D" w:rsidRPr="00933E45">
        <w:rPr>
          <w:rFonts w:ascii="Arial" w:hAnsi="Arial" w:cs="Arial"/>
          <w:color w:val="auto"/>
        </w:rPr>
        <w:t>e</w:t>
      </w:r>
      <w:r w:rsidRPr="00933E45">
        <w:rPr>
          <w:rFonts w:ascii="Arial" w:hAnsi="Arial" w:cs="Arial"/>
          <w:color w:val="auto"/>
        </w:rPr>
        <w:t xml:space="preserve"> rybářsk</w:t>
      </w:r>
      <w:r w:rsidR="00123A4D" w:rsidRPr="00933E45">
        <w:rPr>
          <w:rFonts w:ascii="Arial" w:hAnsi="Arial" w:cs="Arial"/>
          <w:color w:val="auto"/>
        </w:rPr>
        <w:t>ého</w:t>
      </w:r>
      <w:r w:rsidRPr="00933E45">
        <w:rPr>
          <w:rFonts w:ascii="Arial" w:hAnsi="Arial" w:cs="Arial"/>
          <w:color w:val="auto"/>
        </w:rPr>
        <w:t xml:space="preserve"> revír</w:t>
      </w:r>
      <w:r w:rsidR="00123A4D" w:rsidRPr="00933E45">
        <w:rPr>
          <w:rFonts w:ascii="Arial" w:hAnsi="Arial" w:cs="Arial"/>
          <w:color w:val="auto"/>
        </w:rPr>
        <w:t>u</w:t>
      </w:r>
      <w:r w:rsidRPr="00933E45">
        <w:rPr>
          <w:rFonts w:ascii="Arial" w:hAnsi="Arial" w:cs="Arial"/>
          <w:color w:val="auto"/>
        </w:rPr>
        <w:t>, kterým j</w:t>
      </w:r>
      <w:r w:rsidR="00123A4D" w:rsidRPr="00933E45">
        <w:rPr>
          <w:rFonts w:ascii="Arial" w:hAnsi="Arial" w:cs="Arial"/>
          <w:color w:val="auto"/>
        </w:rPr>
        <w:t>e</w:t>
      </w:r>
      <w:r w:rsidRPr="00933E45">
        <w:rPr>
          <w:rFonts w:ascii="Arial" w:hAnsi="Arial" w:cs="Arial"/>
          <w:color w:val="auto"/>
        </w:rPr>
        <w:t xml:space="preserve"> Český rybářský svaz, z. s., Jihočeský územní svaz, IČ 00434116, se sídlem Rybářská 237, 373 82 Boršov nad Vltavou, Poříčí. </w:t>
      </w:r>
    </w:p>
    <w:p w14:paraId="0A01061D" w14:textId="7D24877B" w:rsidR="00A86A22" w:rsidRPr="00321C60" w:rsidRDefault="00A86A22" w:rsidP="00A86A22">
      <w:pPr>
        <w:numPr>
          <w:ilvl w:val="0"/>
          <w:numId w:val="19"/>
        </w:numPr>
        <w:spacing w:after="0"/>
        <w:rPr>
          <w:rFonts w:ascii="Arial" w:hAnsi="Arial" w:cs="Arial"/>
        </w:rPr>
      </w:pPr>
      <w:r w:rsidRPr="00321C60">
        <w:rPr>
          <w:rFonts w:ascii="Arial" w:hAnsi="Arial" w:cs="Arial"/>
        </w:rPr>
        <w:t>Pro všechny součásti výstroje (včetně oblečení a bot), se stanovuje životnost na </w:t>
      </w:r>
      <w:r w:rsidR="00D5319E">
        <w:rPr>
          <w:rFonts w:ascii="Arial" w:hAnsi="Arial" w:cs="Arial"/>
        </w:rPr>
        <w:t>5 let</w:t>
      </w:r>
      <w:r w:rsidRPr="00321C60">
        <w:rPr>
          <w:rFonts w:ascii="Arial" w:hAnsi="Arial" w:cs="Arial"/>
        </w:rPr>
        <w:t xml:space="preserve">. Pro všechny součásti materiálního vybavení se stanovuje životnost do upotřebení. Po uplynutí doby životnosti budou výstroj a materiální vybavení vyřazeny z majetkové evidence. Po dobu životnosti jsou výstroj a materiální vybavení zařazeny do majetkové evidence </w:t>
      </w:r>
      <w:r w:rsidR="00FD058D">
        <w:rPr>
          <w:rFonts w:ascii="Arial" w:hAnsi="Arial" w:cs="Arial"/>
        </w:rPr>
        <w:t>OT.</w:t>
      </w:r>
      <w:r w:rsidRPr="00321C60">
        <w:rPr>
          <w:rFonts w:ascii="Arial" w:hAnsi="Arial" w:cs="Arial"/>
        </w:rPr>
        <w:t xml:space="preserve"> </w:t>
      </w:r>
    </w:p>
    <w:p w14:paraId="64542C86" w14:textId="4B93DBAF" w:rsidR="00A86A22" w:rsidRDefault="00A86A22" w:rsidP="00A86A22">
      <w:pPr>
        <w:numPr>
          <w:ilvl w:val="0"/>
          <w:numId w:val="19"/>
        </w:numPr>
        <w:spacing w:after="0"/>
        <w:rPr>
          <w:rFonts w:ascii="Arial" w:hAnsi="Arial" w:cs="Arial"/>
        </w:rPr>
      </w:pPr>
      <w:r w:rsidRPr="00321C60">
        <w:rPr>
          <w:rFonts w:ascii="Arial" w:hAnsi="Arial" w:cs="Arial"/>
        </w:rPr>
        <w:t>K ukládání pokut se používají příkazové bloky na pokuty na místě zaplacené za přestupky ukládané krajskými úřady nebo obcemi – 46 6401</w:t>
      </w:r>
      <w:r w:rsidR="00FD058D">
        <w:rPr>
          <w:rFonts w:ascii="Arial" w:hAnsi="Arial" w:cs="Arial"/>
        </w:rPr>
        <w:t xml:space="preserve"> a bloky na pokuty na místě nezaplacené – 46 6501.</w:t>
      </w:r>
    </w:p>
    <w:p w14:paraId="0C3CF98C" w14:textId="77777777" w:rsidR="0038220B" w:rsidRPr="0038220B" w:rsidRDefault="0038220B" w:rsidP="0038220B">
      <w:pPr>
        <w:pStyle w:val="Podnadpis"/>
        <w:jc w:val="center"/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</w:pPr>
      <w:r w:rsidRPr="0038220B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>Článek 4</w:t>
      </w:r>
    </w:p>
    <w:p w14:paraId="5B2C5F71" w14:textId="3FB8B37A" w:rsidR="0038220B" w:rsidRPr="0074218E" w:rsidRDefault="0038220B" w:rsidP="0074218E">
      <w:pPr>
        <w:pStyle w:val="Podnadpis"/>
        <w:jc w:val="center"/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</w:pPr>
      <w:r w:rsidRPr="0038220B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>Příkazové bloky</w:t>
      </w:r>
    </w:p>
    <w:p w14:paraId="505653E8" w14:textId="025F98E7" w:rsidR="0038220B" w:rsidRDefault="0038220B" w:rsidP="0038220B">
      <w:pPr>
        <w:numPr>
          <w:ilvl w:val="0"/>
          <w:numId w:val="22"/>
        </w:numPr>
        <w:spacing w:after="0"/>
        <w:rPr>
          <w:rFonts w:ascii="Arial" w:hAnsi="Arial" w:cs="Arial"/>
        </w:rPr>
      </w:pPr>
      <w:r w:rsidRPr="00A0738F">
        <w:rPr>
          <w:rFonts w:ascii="Arial" w:hAnsi="Arial" w:cs="Arial"/>
        </w:rPr>
        <w:t xml:space="preserve">Bloky na pokuty za přestupky vydává </w:t>
      </w:r>
      <w:r>
        <w:rPr>
          <w:rFonts w:ascii="Arial" w:hAnsi="Arial" w:cs="Arial"/>
        </w:rPr>
        <w:t xml:space="preserve">RS </w:t>
      </w:r>
      <w:r w:rsidRPr="00A0738F">
        <w:rPr>
          <w:rFonts w:ascii="Arial" w:hAnsi="Arial" w:cs="Arial"/>
        </w:rPr>
        <w:t xml:space="preserve">proti podpisu odpovědný zaměstnanec </w:t>
      </w:r>
      <w:r w:rsidR="00FD058D">
        <w:rPr>
          <w:rFonts w:ascii="Arial" w:hAnsi="Arial" w:cs="Arial"/>
        </w:rPr>
        <w:t>OŽPaPP</w:t>
      </w:r>
      <w:r w:rsidRPr="00A0738F">
        <w:rPr>
          <w:rFonts w:ascii="Arial" w:hAnsi="Arial" w:cs="Arial"/>
        </w:rPr>
        <w:t>.</w:t>
      </w:r>
    </w:p>
    <w:p w14:paraId="1ADDCDAA" w14:textId="57FACBFD" w:rsidR="0038220B" w:rsidRPr="0038220B" w:rsidRDefault="0038220B" w:rsidP="0038220B">
      <w:pPr>
        <w:numPr>
          <w:ilvl w:val="0"/>
          <w:numId w:val="22"/>
        </w:numPr>
        <w:spacing w:after="0"/>
        <w:rPr>
          <w:rFonts w:ascii="Arial" w:hAnsi="Arial" w:cs="Arial"/>
        </w:rPr>
      </w:pPr>
      <w:r w:rsidRPr="0038220B">
        <w:rPr>
          <w:rFonts w:ascii="Arial" w:hAnsi="Arial" w:cs="Arial"/>
        </w:rPr>
        <w:lastRenderedPageBreak/>
        <w:t xml:space="preserve">Příkazové bloky, které byly ztraceny, zničeny či odcizeny – ustanovená RS neprodleně nahlásí na </w:t>
      </w:r>
      <w:r w:rsidR="00FD058D">
        <w:rPr>
          <w:rFonts w:ascii="Arial" w:hAnsi="Arial" w:cs="Arial"/>
        </w:rPr>
        <w:t>OŽPaPP</w:t>
      </w:r>
      <w:r w:rsidRPr="0038220B">
        <w:rPr>
          <w:rFonts w:ascii="Arial" w:hAnsi="Arial" w:cs="Arial"/>
        </w:rPr>
        <w:t xml:space="preserve">, který do 15 dnů ode dne zjištění uvedených skutečností nahlásí série, rok výroby a evidenční čísla ztracených, zničených či odcizených příkazových bloků Krajskému úřadu </w:t>
      </w:r>
      <w:r w:rsidR="00FD058D">
        <w:rPr>
          <w:rFonts w:ascii="Arial" w:hAnsi="Arial" w:cs="Arial"/>
        </w:rPr>
        <w:t xml:space="preserve">kraje Vysočina </w:t>
      </w:r>
      <w:r w:rsidRPr="0038220B">
        <w:rPr>
          <w:rFonts w:ascii="Arial" w:hAnsi="Arial" w:cs="Arial"/>
        </w:rPr>
        <w:t xml:space="preserve"> a Ministerstvu financí ČR.</w:t>
      </w:r>
    </w:p>
    <w:p w14:paraId="4A27B931" w14:textId="28B5BEE2" w:rsidR="0038220B" w:rsidRPr="0038220B" w:rsidRDefault="0038220B" w:rsidP="0038220B">
      <w:pPr>
        <w:numPr>
          <w:ilvl w:val="0"/>
          <w:numId w:val="22"/>
        </w:numPr>
        <w:spacing w:after="0"/>
        <w:rPr>
          <w:rFonts w:ascii="Arial" w:hAnsi="Arial" w:cs="Arial"/>
        </w:rPr>
      </w:pPr>
      <w:r w:rsidRPr="0038220B">
        <w:rPr>
          <w:rFonts w:ascii="Arial" w:hAnsi="Arial" w:cs="Arial"/>
        </w:rPr>
        <w:t xml:space="preserve">Příkazové bloky, u kterých odmítne přestupce podepsat převzetí pokutového bloku, způsobuje tu skutečnost, že pokutový blok nemá náležitosti zákona o odpovědnosti za přestupky, a takový blok je stornován. RS originál i kopie tohoto bloku s textem „Storno“ a s vysvětlujícím dopisem předá neprodleně pověřenému zaměstnanci </w:t>
      </w:r>
      <w:r w:rsidR="00FD058D">
        <w:rPr>
          <w:rFonts w:ascii="Arial" w:hAnsi="Arial" w:cs="Arial"/>
        </w:rPr>
        <w:t>OŽPaPP</w:t>
      </w:r>
      <w:r w:rsidRPr="0038220B">
        <w:rPr>
          <w:rFonts w:ascii="Arial" w:hAnsi="Arial" w:cs="Arial"/>
        </w:rPr>
        <w:t xml:space="preserve">, který blok vrátí na Krajský úřad </w:t>
      </w:r>
      <w:r w:rsidR="00FD058D">
        <w:rPr>
          <w:rFonts w:ascii="Arial" w:hAnsi="Arial" w:cs="Arial"/>
        </w:rPr>
        <w:t>kraje Vysočina</w:t>
      </w:r>
      <w:r w:rsidRPr="0038220B">
        <w:rPr>
          <w:rFonts w:ascii="Arial" w:hAnsi="Arial" w:cs="Arial"/>
        </w:rPr>
        <w:t>.</w:t>
      </w:r>
    </w:p>
    <w:p w14:paraId="70F85CBF" w14:textId="77777777" w:rsidR="0038220B" w:rsidRPr="0038220B" w:rsidRDefault="0038220B" w:rsidP="0038220B">
      <w:pPr>
        <w:numPr>
          <w:ilvl w:val="0"/>
          <w:numId w:val="22"/>
        </w:numPr>
        <w:spacing w:after="0"/>
        <w:rPr>
          <w:rFonts w:ascii="Arial" w:hAnsi="Arial" w:cs="Arial"/>
        </w:rPr>
      </w:pPr>
      <w:r w:rsidRPr="0038220B">
        <w:rPr>
          <w:rFonts w:ascii="Arial" w:hAnsi="Arial" w:cs="Arial"/>
        </w:rPr>
        <w:t>RS vede „Deník pokutových bloků“ (viz příloha A), kde eviduje mimo jiné částky v Kč přijaté od pokutovaných osob za vydané pokutové bloky. Vybrané peněžní prostředky z pokut jsou odváděny do pokladen vždy při:</w:t>
      </w:r>
    </w:p>
    <w:p w14:paraId="030B0453" w14:textId="77777777" w:rsidR="0038220B" w:rsidRPr="0038220B" w:rsidRDefault="0038220B" w:rsidP="0038220B">
      <w:pPr>
        <w:numPr>
          <w:ilvl w:val="0"/>
          <w:numId w:val="23"/>
        </w:numPr>
        <w:spacing w:after="0"/>
        <w:rPr>
          <w:rFonts w:ascii="Arial" w:hAnsi="Arial" w:cs="Arial"/>
        </w:rPr>
      </w:pPr>
      <w:r w:rsidRPr="0038220B">
        <w:rPr>
          <w:rFonts w:ascii="Arial" w:hAnsi="Arial" w:cs="Arial"/>
        </w:rPr>
        <w:t>dovršení limitu 10 000,- Kč,</w:t>
      </w:r>
    </w:p>
    <w:p w14:paraId="58B19E38" w14:textId="77777777" w:rsidR="0038220B" w:rsidRDefault="0038220B" w:rsidP="0038220B">
      <w:pPr>
        <w:numPr>
          <w:ilvl w:val="0"/>
          <w:numId w:val="23"/>
        </w:numPr>
        <w:spacing w:after="0"/>
        <w:rPr>
          <w:rFonts w:ascii="Arial" w:hAnsi="Arial" w:cs="Arial"/>
        </w:rPr>
      </w:pPr>
      <w:r w:rsidRPr="0038220B">
        <w:rPr>
          <w:rFonts w:ascii="Arial" w:hAnsi="Arial" w:cs="Arial"/>
        </w:rPr>
        <w:t>každé pondělí do 17.00 hod. v měsíci,</w:t>
      </w:r>
    </w:p>
    <w:p w14:paraId="52D1FC75" w14:textId="39DF3EDB" w:rsidR="00AD0326" w:rsidRPr="0038220B" w:rsidRDefault="00AD0326" w:rsidP="0038220B">
      <w:pPr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do 15. 12.  do příslušného kalendářního roku, </w:t>
      </w:r>
    </w:p>
    <w:p w14:paraId="310FC1C8" w14:textId="77777777" w:rsidR="0038220B" w:rsidRPr="0038220B" w:rsidRDefault="0038220B" w:rsidP="0038220B">
      <w:pPr>
        <w:numPr>
          <w:ilvl w:val="0"/>
          <w:numId w:val="23"/>
        </w:numPr>
        <w:spacing w:after="0"/>
        <w:rPr>
          <w:rFonts w:ascii="Arial" w:hAnsi="Arial" w:cs="Arial"/>
        </w:rPr>
      </w:pPr>
      <w:r w:rsidRPr="0038220B">
        <w:rPr>
          <w:rFonts w:ascii="Arial" w:hAnsi="Arial" w:cs="Arial"/>
        </w:rPr>
        <w:t>při vytržení posledního listu v bloku.</w:t>
      </w:r>
    </w:p>
    <w:p w14:paraId="4489F4AA" w14:textId="596ADF3B" w:rsidR="0038220B" w:rsidRPr="002A3B19" w:rsidRDefault="0038220B" w:rsidP="0038220B">
      <w:pPr>
        <w:numPr>
          <w:ilvl w:val="0"/>
          <w:numId w:val="22"/>
        </w:numPr>
        <w:spacing w:after="0"/>
        <w:rPr>
          <w:rFonts w:ascii="Arial" w:hAnsi="Arial" w:cs="Arial"/>
        </w:rPr>
      </w:pPr>
      <w:r w:rsidRPr="0038220B">
        <w:rPr>
          <w:rFonts w:ascii="Arial" w:hAnsi="Arial" w:cs="Arial"/>
        </w:rPr>
        <w:t xml:space="preserve">K 31. 12. běžného roku je provedena inventarizace příkazových bloků. RS je povinna provést fyzickou i dokladovou inventarizaci jí vydaných bloků v daném roce. Dále je povinna poskytnout ve </w:t>
      </w:r>
      <w:r w:rsidRPr="002A3B19">
        <w:rPr>
          <w:rFonts w:ascii="Arial" w:hAnsi="Arial" w:cs="Arial"/>
        </w:rPr>
        <w:t xml:space="preserve">věci inventarizace </w:t>
      </w:r>
      <w:r w:rsidR="00FD058D">
        <w:rPr>
          <w:rFonts w:ascii="Arial" w:hAnsi="Arial" w:cs="Arial"/>
        </w:rPr>
        <w:t>OŽPaPP</w:t>
      </w:r>
      <w:r w:rsidRPr="002A3B19">
        <w:rPr>
          <w:rFonts w:ascii="Arial" w:hAnsi="Arial" w:cs="Arial"/>
        </w:rPr>
        <w:t xml:space="preserve"> veškerou součinnost. K inventarizaci použije RS předepsané tiskopisy </w:t>
      </w:r>
      <w:r w:rsidR="00FD058D">
        <w:rPr>
          <w:rFonts w:ascii="Arial" w:hAnsi="Arial" w:cs="Arial"/>
        </w:rPr>
        <w:t>OŽPaPP</w:t>
      </w:r>
      <w:r w:rsidRPr="002A3B19">
        <w:rPr>
          <w:rFonts w:ascii="Arial" w:hAnsi="Arial" w:cs="Arial"/>
        </w:rPr>
        <w:t xml:space="preserve"> (viz příloha B). </w:t>
      </w:r>
      <w:r w:rsidR="00FD058D">
        <w:rPr>
          <w:rFonts w:ascii="Arial" w:hAnsi="Arial" w:cs="Arial"/>
        </w:rPr>
        <w:t>O</w:t>
      </w:r>
      <w:r w:rsidRPr="002A3B19">
        <w:rPr>
          <w:rFonts w:ascii="Arial" w:hAnsi="Arial" w:cs="Arial"/>
        </w:rPr>
        <w:t>ŽP</w:t>
      </w:r>
      <w:r w:rsidR="00FD058D">
        <w:rPr>
          <w:rFonts w:ascii="Arial" w:hAnsi="Arial" w:cs="Arial"/>
        </w:rPr>
        <w:t>aPP ve spolupráci s EO</w:t>
      </w:r>
      <w:r w:rsidRPr="002A3B19">
        <w:rPr>
          <w:rFonts w:ascii="Arial" w:hAnsi="Arial" w:cs="Arial"/>
        </w:rPr>
        <w:t xml:space="preserve"> provádí průběžnou kontrolu odvodu peněžních prostředků.</w:t>
      </w:r>
    </w:p>
    <w:p w14:paraId="7B7C03E2" w14:textId="4D7BD318" w:rsidR="0038220B" w:rsidRPr="002A3B19" w:rsidRDefault="0038220B" w:rsidP="0038220B">
      <w:pPr>
        <w:numPr>
          <w:ilvl w:val="0"/>
          <w:numId w:val="22"/>
        </w:numPr>
        <w:spacing w:after="0"/>
        <w:rPr>
          <w:rFonts w:ascii="Arial" w:hAnsi="Arial" w:cs="Arial"/>
        </w:rPr>
      </w:pPr>
      <w:r w:rsidRPr="002A3B19">
        <w:rPr>
          <w:rFonts w:ascii="Arial" w:hAnsi="Arial" w:cs="Arial"/>
        </w:rPr>
        <w:t xml:space="preserve">Výnosy z pokut uložených RS příkazem na místě (blokově), jsou příjmem obce s rozšířenou působností, který tuto RS ustanovil. Pokuty uložené fyzickými osobami specifikovanými v čl. 3 </w:t>
      </w:r>
      <w:r w:rsidR="0074218E">
        <w:rPr>
          <w:rFonts w:ascii="Arial" w:hAnsi="Arial" w:cs="Arial"/>
        </w:rPr>
        <w:t xml:space="preserve">odstavce 1 </w:t>
      </w:r>
      <w:r w:rsidRPr="002A3B19">
        <w:rPr>
          <w:rFonts w:ascii="Arial" w:hAnsi="Arial" w:cs="Arial"/>
        </w:rPr>
        <w:t xml:space="preserve">a) a b), jsou tedy příjmem do rozpočtu města Humpolec. </w:t>
      </w:r>
    </w:p>
    <w:p w14:paraId="5FADE50B" w14:textId="4B6C105A" w:rsidR="002A3B19" w:rsidRDefault="002A3B19" w:rsidP="002A3B19">
      <w:pPr>
        <w:numPr>
          <w:ilvl w:val="0"/>
          <w:numId w:val="22"/>
        </w:numPr>
        <w:spacing w:after="0"/>
        <w:rPr>
          <w:rFonts w:ascii="Arial" w:hAnsi="Arial" w:cs="Arial"/>
        </w:rPr>
      </w:pPr>
      <w:r w:rsidRPr="002A3B19">
        <w:rPr>
          <w:rFonts w:ascii="Arial" w:hAnsi="Arial" w:cs="Arial"/>
        </w:rPr>
        <w:t>Pravomoc rybářské stráže ukládat pokuty na místě se vztahuje výhradně na území správního obvodu ORP, jež rybářskou stráž ustanovila. Mimo tento územní obvod rybářská stráž pokuty na místě ukládat nesmí.</w:t>
      </w:r>
      <w:r w:rsidR="000837CF">
        <w:rPr>
          <w:rFonts w:ascii="Arial" w:hAnsi="Arial" w:cs="Arial"/>
        </w:rPr>
        <w:t xml:space="preserve"> Příkaz na místě je oprávněn vydávat člen RS, který jednou ročně absolvuje školení týkající se přestupků a odpovědnosti o nich. </w:t>
      </w:r>
      <w:r w:rsidR="0074218E">
        <w:rPr>
          <w:rFonts w:ascii="Arial" w:hAnsi="Arial" w:cs="Arial"/>
        </w:rPr>
        <w:t>v</w:t>
      </w:r>
      <w:r w:rsidR="000837CF">
        <w:rPr>
          <w:rFonts w:ascii="Arial" w:hAnsi="Arial" w:cs="Arial"/>
        </w:rPr>
        <w:t xml:space="preserve">yplňování příkazních bloků a jejich evidence. </w:t>
      </w:r>
    </w:p>
    <w:p w14:paraId="2D38BF39" w14:textId="49E0414E" w:rsidR="002A3B19" w:rsidRPr="002A3B19" w:rsidRDefault="002A3B19" w:rsidP="002A3B19">
      <w:pPr>
        <w:pStyle w:val="Podnadpis"/>
        <w:jc w:val="center"/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</w:pPr>
      <w:r w:rsidRPr="002A3B19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 xml:space="preserve">Článek </w:t>
      </w:r>
      <w:r w:rsidR="0074218E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>5</w:t>
      </w:r>
    </w:p>
    <w:p w14:paraId="750CBA95" w14:textId="77777777" w:rsidR="002A3B19" w:rsidRDefault="002A3B19" w:rsidP="002A3B19">
      <w:pPr>
        <w:pStyle w:val="Podnadpis"/>
        <w:jc w:val="center"/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</w:pPr>
      <w:r w:rsidRPr="002A3B19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>Uložení příkazového bloku</w:t>
      </w:r>
    </w:p>
    <w:p w14:paraId="045ECDE9" w14:textId="77777777" w:rsidR="002A3B19" w:rsidRPr="00A0738F" w:rsidRDefault="002A3B19" w:rsidP="002A3B19">
      <w:pPr>
        <w:numPr>
          <w:ilvl w:val="0"/>
          <w:numId w:val="24"/>
        </w:numPr>
        <w:spacing w:after="0"/>
        <w:rPr>
          <w:rFonts w:ascii="Arial" w:hAnsi="Arial" w:cs="Arial"/>
        </w:rPr>
      </w:pPr>
      <w:r w:rsidRPr="00A0738F">
        <w:rPr>
          <w:rFonts w:ascii="Arial" w:hAnsi="Arial" w:cs="Arial"/>
        </w:rPr>
        <w:t>Pokutový blok je vyplněn dle pokynů k vyplnění bloku, uvedených na poslední stránce svazku bloků.</w:t>
      </w:r>
    </w:p>
    <w:p w14:paraId="440E06C9" w14:textId="7402B339" w:rsidR="002A3B19" w:rsidRPr="002A3B19" w:rsidRDefault="002A3B19" w:rsidP="002A3B19">
      <w:pPr>
        <w:numPr>
          <w:ilvl w:val="0"/>
          <w:numId w:val="2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Pokutovaná osoba obdrží část bloku dle pokynů k vyplnění bloku. Po vytrhání celého bloku je blok </w:t>
      </w:r>
      <w:r w:rsidRPr="002A3B19">
        <w:rPr>
          <w:rFonts w:ascii="Arial" w:hAnsi="Arial" w:cs="Arial"/>
        </w:rPr>
        <w:t xml:space="preserve">a „Deník pokutových bloků“ předán ke kontrole na </w:t>
      </w:r>
      <w:r w:rsidR="000837CF">
        <w:rPr>
          <w:rFonts w:ascii="Arial" w:hAnsi="Arial" w:cs="Arial"/>
        </w:rPr>
        <w:t>OŽPaPP</w:t>
      </w:r>
      <w:r w:rsidRPr="002A3B19">
        <w:rPr>
          <w:rFonts w:ascii="Arial" w:hAnsi="Arial" w:cs="Arial"/>
        </w:rPr>
        <w:t xml:space="preserve">. </w:t>
      </w:r>
    </w:p>
    <w:p w14:paraId="69272E20" w14:textId="4C05DEAE" w:rsidR="002A3B19" w:rsidRPr="002A3B19" w:rsidRDefault="002A3B19" w:rsidP="002A3B19">
      <w:pPr>
        <w:numPr>
          <w:ilvl w:val="0"/>
          <w:numId w:val="24"/>
        </w:numPr>
        <w:spacing w:after="0"/>
        <w:rPr>
          <w:rFonts w:ascii="Arial" w:hAnsi="Arial" w:cs="Arial"/>
        </w:rPr>
      </w:pPr>
      <w:r w:rsidRPr="002A3B19">
        <w:rPr>
          <w:rFonts w:ascii="Arial" w:hAnsi="Arial" w:cs="Arial"/>
        </w:rPr>
        <w:t>Úhrada peněžních prostředků od pokutovaných osob probíhá v</w:t>
      </w:r>
      <w:r w:rsidR="000837CF">
        <w:rPr>
          <w:rFonts w:ascii="Arial" w:hAnsi="Arial" w:cs="Arial"/>
        </w:rPr>
        <w:t> </w:t>
      </w:r>
      <w:r w:rsidRPr="002A3B19">
        <w:rPr>
          <w:rFonts w:ascii="Arial" w:hAnsi="Arial" w:cs="Arial"/>
        </w:rPr>
        <w:t>hotovosti</w:t>
      </w:r>
      <w:r w:rsidR="000837CF">
        <w:rPr>
          <w:rFonts w:ascii="Arial" w:hAnsi="Arial" w:cs="Arial"/>
        </w:rPr>
        <w:t>, v případě pokut na místě nezaplacených na pokladně EO</w:t>
      </w:r>
      <w:r w:rsidRPr="002A3B19">
        <w:rPr>
          <w:rFonts w:ascii="Arial" w:hAnsi="Arial" w:cs="Arial"/>
        </w:rPr>
        <w:t>. Při úhradě pokuty</w:t>
      </w:r>
      <w:r w:rsidR="000837CF">
        <w:rPr>
          <w:rFonts w:ascii="Arial" w:hAnsi="Arial" w:cs="Arial"/>
        </w:rPr>
        <w:t xml:space="preserve"> na místě nezaplacených zadá EO při příjmu </w:t>
      </w:r>
      <w:r w:rsidRPr="002A3B19">
        <w:rPr>
          <w:rFonts w:ascii="Arial" w:hAnsi="Arial" w:cs="Arial"/>
        </w:rPr>
        <w:t>variabilní symbol, který je shodný s číslem vydaného bloku.</w:t>
      </w:r>
    </w:p>
    <w:p w14:paraId="1F216B0D" w14:textId="77777777" w:rsidR="002A3B19" w:rsidRPr="002A3B19" w:rsidRDefault="002A3B19" w:rsidP="002A3B19">
      <w:pPr>
        <w:numPr>
          <w:ilvl w:val="0"/>
          <w:numId w:val="24"/>
        </w:numPr>
        <w:spacing w:after="0"/>
        <w:rPr>
          <w:rFonts w:ascii="Arial" w:hAnsi="Arial" w:cs="Arial"/>
        </w:rPr>
      </w:pPr>
      <w:r w:rsidRPr="002A3B19">
        <w:rPr>
          <w:rFonts w:ascii="Arial" w:hAnsi="Arial" w:cs="Arial"/>
        </w:rPr>
        <w:t>Vybrané finanční prostředky jsou účtovány podle jednotlivých RS, kterým jsou bloky předávány.</w:t>
      </w:r>
    </w:p>
    <w:p w14:paraId="60149B00" w14:textId="52EF2775" w:rsidR="002A3B19" w:rsidRPr="00556CBB" w:rsidRDefault="002A3B19" w:rsidP="002A3B19">
      <w:pPr>
        <w:numPr>
          <w:ilvl w:val="0"/>
          <w:numId w:val="24"/>
        </w:numPr>
        <w:spacing w:after="0"/>
        <w:rPr>
          <w:rFonts w:ascii="Arial" w:hAnsi="Arial" w:cs="Arial"/>
        </w:rPr>
      </w:pPr>
      <w:r w:rsidRPr="00556CBB">
        <w:rPr>
          <w:rFonts w:ascii="Arial" w:hAnsi="Arial" w:cs="Arial"/>
        </w:rPr>
        <w:t xml:space="preserve">V souvislosti s uloženou pokutou příkazem na místě se přestupky fyzických osob podle § 30 odstavec 1 až 5 zákona o rybářství zapisují do evidence přestupků vedené Rejstříkem trestů. Přestupek, který se zapisuje do evidence přestupků a který byl projednán RS uložením pokuty příkazem na místě, do evidence přestupků zapíše rybářský orgán, který RS ustanovil, tedy Městský úřad </w:t>
      </w:r>
      <w:r w:rsidR="00556CBB" w:rsidRPr="00556CBB">
        <w:rPr>
          <w:rFonts w:ascii="Arial" w:hAnsi="Arial" w:cs="Arial"/>
        </w:rPr>
        <w:t>Humpolec</w:t>
      </w:r>
      <w:r w:rsidRPr="00556CBB">
        <w:rPr>
          <w:rFonts w:ascii="Arial" w:hAnsi="Arial" w:cs="Arial"/>
        </w:rPr>
        <w:t xml:space="preserve">, </w:t>
      </w:r>
      <w:r w:rsidR="00855C74">
        <w:rPr>
          <w:rFonts w:ascii="Arial" w:hAnsi="Arial" w:cs="Arial"/>
        </w:rPr>
        <w:t>O</w:t>
      </w:r>
      <w:r w:rsidRPr="00556CBB">
        <w:rPr>
          <w:rFonts w:ascii="Arial" w:hAnsi="Arial" w:cs="Arial"/>
        </w:rPr>
        <w:t>ŽP</w:t>
      </w:r>
      <w:r w:rsidR="00855C74">
        <w:rPr>
          <w:rFonts w:ascii="Arial" w:hAnsi="Arial" w:cs="Arial"/>
        </w:rPr>
        <w:t>aPP</w:t>
      </w:r>
      <w:r w:rsidRPr="00556CBB">
        <w:rPr>
          <w:rFonts w:ascii="Arial" w:hAnsi="Arial" w:cs="Arial"/>
        </w:rPr>
        <w:t xml:space="preserve">. RS sdělí Městskému úřadu </w:t>
      </w:r>
      <w:r w:rsidR="00556CBB" w:rsidRPr="00556CBB">
        <w:rPr>
          <w:rFonts w:ascii="Arial" w:hAnsi="Arial" w:cs="Arial"/>
        </w:rPr>
        <w:t>Humpolec</w:t>
      </w:r>
      <w:r w:rsidRPr="00556CBB">
        <w:rPr>
          <w:rFonts w:ascii="Arial" w:hAnsi="Arial" w:cs="Arial"/>
        </w:rPr>
        <w:t xml:space="preserve"> údaje pro provedení zápisu do pěti dnů ode dne uložení pokuty</w:t>
      </w:r>
      <w:r w:rsidR="00116230">
        <w:rPr>
          <w:rFonts w:ascii="Arial" w:hAnsi="Arial" w:cs="Arial"/>
        </w:rPr>
        <w:t xml:space="preserve"> (viz paragraf 30 odst. 7 o rybářství</w:t>
      </w:r>
      <w:r w:rsidR="00855C74">
        <w:rPr>
          <w:rFonts w:ascii="Arial" w:hAnsi="Arial" w:cs="Arial"/>
        </w:rPr>
        <w:t>.)</w:t>
      </w:r>
      <w:r w:rsidR="00116230">
        <w:rPr>
          <w:rFonts w:ascii="Arial" w:hAnsi="Arial" w:cs="Arial"/>
        </w:rPr>
        <w:t xml:space="preserve"> </w:t>
      </w:r>
    </w:p>
    <w:p w14:paraId="118B4192" w14:textId="65AFE7C7" w:rsidR="00556CBB" w:rsidRPr="00556CBB" w:rsidRDefault="00556CBB" w:rsidP="00556CBB">
      <w:pPr>
        <w:numPr>
          <w:ilvl w:val="0"/>
          <w:numId w:val="24"/>
        </w:numPr>
        <w:spacing w:after="0"/>
        <w:rPr>
          <w:rFonts w:ascii="Arial" w:hAnsi="Arial" w:cs="Arial"/>
        </w:rPr>
      </w:pPr>
      <w:r w:rsidRPr="00556CBB">
        <w:rPr>
          <w:rFonts w:ascii="Arial" w:hAnsi="Arial" w:cs="Arial"/>
        </w:rPr>
        <w:lastRenderedPageBreak/>
        <w:t xml:space="preserve">Pověřený </w:t>
      </w:r>
      <w:r w:rsidR="00124BDE">
        <w:rPr>
          <w:rFonts w:ascii="Arial" w:hAnsi="Arial" w:cs="Arial"/>
        </w:rPr>
        <w:t>zaměstnanec</w:t>
      </w:r>
      <w:r w:rsidR="00124BDE" w:rsidRPr="00556CBB">
        <w:rPr>
          <w:rFonts w:ascii="Arial" w:hAnsi="Arial" w:cs="Arial"/>
        </w:rPr>
        <w:t xml:space="preserve"> </w:t>
      </w:r>
      <w:r w:rsidRPr="00556CBB">
        <w:rPr>
          <w:rFonts w:ascii="Arial" w:hAnsi="Arial" w:cs="Arial"/>
        </w:rPr>
        <w:t xml:space="preserve">Městského úřadu Humpolec, </w:t>
      </w:r>
      <w:r w:rsidR="00855C74">
        <w:rPr>
          <w:rFonts w:ascii="Arial" w:hAnsi="Arial" w:cs="Arial"/>
        </w:rPr>
        <w:t>O</w:t>
      </w:r>
      <w:r w:rsidRPr="00556CBB">
        <w:rPr>
          <w:rFonts w:ascii="Arial" w:hAnsi="Arial" w:cs="Arial"/>
        </w:rPr>
        <w:t>ŽP</w:t>
      </w:r>
      <w:r w:rsidR="00855C74">
        <w:rPr>
          <w:rFonts w:ascii="Arial" w:hAnsi="Arial" w:cs="Arial"/>
        </w:rPr>
        <w:t>aPP</w:t>
      </w:r>
      <w:r w:rsidRPr="00556CBB">
        <w:rPr>
          <w:rFonts w:ascii="Arial" w:hAnsi="Arial" w:cs="Arial"/>
        </w:rPr>
        <w:t>, provede na základě sdělených údajů RS zápis do evidence přestupků</w:t>
      </w:r>
      <w:r w:rsidR="00116230">
        <w:rPr>
          <w:rFonts w:ascii="Arial" w:hAnsi="Arial" w:cs="Arial"/>
        </w:rPr>
        <w:t xml:space="preserve"> (viz. </w:t>
      </w:r>
      <w:r w:rsidR="00855C74">
        <w:rPr>
          <w:rFonts w:ascii="Arial" w:hAnsi="Arial" w:cs="Arial"/>
        </w:rPr>
        <w:t>§</w:t>
      </w:r>
      <w:r w:rsidR="00116230">
        <w:rPr>
          <w:rFonts w:ascii="Arial" w:hAnsi="Arial" w:cs="Arial"/>
        </w:rPr>
        <w:t xml:space="preserve"> 30. odst. 7 zákona o rybářství</w:t>
      </w:r>
      <w:r w:rsidR="00855C74">
        <w:rPr>
          <w:rFonts w:ascii="Arial" w:hAnsi="Arial" w:cs="Arial"/>
        </w:rPr>
        <w:t>).</w:t>
      </w:r>
      <w:r w:rsidRPr="00556CBB">
        <w:rPr>
          <w:rFonts w:ascii="Arial" w:hAnsi="Arial" w:cs="Arial"/>
        </w:rPr>
        <w:t xml:space="preserve"> </w:t>
      </w:r>
      <w:r w:rsidR="00855C74">
        <w:rPr>
          <w:rFonts w:ascii="Arial" w:hAnsi="Arial" w:cs="Arial"/>
        </w:rPr>
        <w:t xml:space="preserve">A </w:t>
      </w:r>
      <w:r w:rsidRPr="00556CBB">
        <w:rPr>
          <w:rFonts w:ascii="Arial" w:hAnsi="Arial" w:cs="Arial"/>
        </w:rPr>
        <w:t>to nejpozději do pěti dnů ode dne, kdy jako příslušný správní orgán obdržel podklad pro provedení tohoto zápisu od RS. Zápis do evidence přestupků provede prostřednictvím elektronické aplikace</w:t>
      </w:r>
      <w:r w:rsidR="00855C74">
        <w:rPr>
          <w:rFonts w:ascii="Arial" w:hAnsi="Arial" w:cs="Arial"/>
        </w:rPr>
        <w:t xml:space="preserve"> </w:t>
      </w:r>
      <w:r w:rsidRPr="00556CBB">
        <w:rPr>
          <w:rFonts w:ascii="Arial" w:hAnsi="Arial" w:cs="Arial"/>
        </w:rPr>
        <w:t xml:space="preserve">přístupné způsobem umožňujícím dálkový přístup, kterou spravuje Rejstřík trestů, v souladu s ustanovením § 107 zákona o odpovědnosti za přestupky (Postup při zápisu do evidence přestupků). </w:t>
      </w:r>
    </w:p>
    <w:p w14:paraId="2B6BD89A" w14:textId="326736C2" w:rsidR="00556CBB" w:rsidRPr="00855C74" w:rsidRDefault="00556CBB" w:rsidP="00855C74">
      <w:pPr>
        <w:numPr>
          <w:ilvl w:val="0"/>
          <w:numId w:val="24"/>
        </w:numPr>
        <w:spacing w:after="0"/>
        <w:rPr>
          <w:rFonts w:ascii="Arial" w:hAnsi="Arial" w:cs="Arial"/>
        </w:rPr>
      </w:pPr>
      <w:r w:rsidRPr="00556CBB">
        <w:rPr>
          <w:rFonts w:ascii="Arial" w:hAnsi="Arial" w:cs="Arial"/>
        </w:rPr>
        <w:t xml:space="preserve">RS je povinna sdělit údaje pro zápis do evidence přestupků písemně, </w:t>
      </w:r>
      <w:r w:rsidR="00855C74">
        <w:rPr>
          <w:rFonts w:ascii="Arial" w:hAnsi="Arial" w:cs="Arial"/>
        </w:rPr>
        <w:br/>
      </w:r>
      <w:r w:rsidRPr="00556CBB">
        <w:rPr>
          <w:rFonts w:ascii="Arial" w:hAnsi="Arial" w:cs="Arial"/>
        </w:rPr>
        <w:t>a</w:t>
      </w:r>
      <w:r w:rsidR="00855C74">
        <w:rPr>
          <w:rFonts w:ascii="Arial" w:hAnsi="Arial" w:cs="Arial"/>
        </w:rPr>
        <w:t xml:space="preserve"> </w:t>
      </w:r>
      <w:r w:rsidRPr="00556CBB">
        <w:rPr>
          <w:rFonts w:ascii="Arial" w:hAnsi="Arial" w:cs="Arial"/>
        </w:rPr>
        <w:t xml:space="preserve">to: </w:t>
      </w:r>
      <w:r w:rsidRPr="00855C74">
        <w:rPr>
          <w:rFonts w:ascii="Arial" w:hAnsi="Arial" w:cs="Arial"/>
        </w:rPr>
        <w:t xml:space="preserve">osobně – podáním Deníku pokutových bloků, který vede, a zároveň kopií pokutových bloků uložených pokut, jež jsou obsahem daného Deníku pokutových bloků v papírové podobě na  </w:t>
      </w:r>
      <w:r w:rsidR="00855C74">
        <w:rPr>
          <w:rFonts w:ascii="Arial" w:hAnsi="Arial" w:cs="Arial"/>
        </w:rPr>
        <w:t>O</w:t>
      </w:r>
      <w:r w:rsidRPr="00855C74">
        <w:rPr>
          <w:rFonts w:ascii="Arial" w:hAnsi="Arial" w:cs="Arial"/>
        </w:rPr>
        <w:t xml:space="preserve">ŽPaPP Městského úřadu Humpolec.    </w:t>
      </w:r>
    </w:p>
    <w:p w14:paraId="636162B6" w14:textId="77777777" w:rsidR="00556CBB" w:rsidRDefault="00556CBB" w:rsidP="00556CBB">
      <w:pPr>
        <w:numPr>
          <w:ilvl w:val="0"/>
          <w:numId w:val="24"/>
        </w:numPr>
        <w:spacing w:after="0"/>
        <w:rPr>
          <w:rFonts w:ascii="Arial" w:hAnsi="Arial" w:cs="Arial"/>
        </w:rPr>
      </w:pPr>
      <w:r w:rsidRPr="00556CBB">
        <w:rPr>
          <w:rFonts w:ascii="Arial" w:hAnsi="Arial" w:cs="Arial"/>
        </w:rPr>
        <w:t xml:space="preserve">Sdělení pro zápis do evidence přestupků, poskytnuté RS, musí obsahovat minimálně tyto údaje: </w:t>
      </w:r>
    </w:p>
    <w:p w14:paraId="2A14C6FF" w14:textId="77777777" w:rsidR="00556CBB" w:rsidRPr="00777E26" w:rsidRDefault="00556CBB" w:rsidP="00556CBB">
      <w:pPr>
        <w:numPr>
          <w:ilvl w:val="1"/>
          <w:numId w:val="24"/>
        </w:numPr>
        <w:spacing w:after="0"/>
        <w:rPr>
          <w:rFonts w:ascii="Arial" w:hAnsi="Arial" w:cs="Arial"/>
        </w:rPr>
      </w:pPr>
      <w:r w:rsidRPr="00777E26">
        <w:rPr>
          <w:rFonts w:ascii="Arial" w:hAnsi="Arial" w:cs="Arial"/>
        </w:rPr>
        <w:t>údaje o subjektu, který pokutu uložil (jméno a příjmení, služební číslo</w:t>
      </w:r>
      <w:r>
        <w:rPr>
          <w:rFonts w:ascii="Arial" w:hAnsi="Arial" w:cs="Arial"/>
        </w:rPr>
        <w:t xml:space="preserve"> RS</w:t>
      </w:r>
      <w:r w:rsidRPr="00777E26">
        <w:rPr>
          <w:rFonts w:ascii="Arial" w:hAnsi="Arial" w:cs="Arial"/>
        </w:rPr>
        <w:t>),</w:t>
      </w:r>
    </w:p>
    <w:p w14:paraId="7A22E72B" w14:textId="77777777" w:rsidR="00556CBB" w:rsidRPr="00777E26" w:rsidRDefault="00556CBB" w:rsidP="00556CBB">
      <w:pPr>
        <w:numPr>
          <w:ilvl w:val="1"/>
          <w:numId w:val="24"/>
        </w:numPr>
        <w:spacing w:after="0"/>
        <w:rPr>
          <w:rFonts w:ascii="Arial" w:hAnsi="Arial" w:cs="Arial"/>
        </w:rPr>
      </w:pPr>
      <w:r w:rsidRPr="00777E26">
        <w:rPr>
          <w:rFonts w:ascii="Arial" w:hAnsi="Arial" w:cs="Arial"/>
        </w:rPr>
        <w:t>datum uložení blokové pokuty,</w:t>
      </w:r>
    </w:p>
    <w:p w14:paraId="58A9C8BE" w14:textId="436B414F" w:rsidR="00556CBB" w:rsidRPr="003A6C16" w:rsidRDefault="00556CBB" w:rsidP="003A6C16">
      <w:pPr>
        <w:numPr>
          <w:ilvl w:val="1"/>
          <w:numId w:val="24"/>
        </w:numPr>
        <w:spacing w:after="0"/>
        <w:rPr>
          <w:rFonts w:ascii="Arial" w:hAnsi="Arial" w:cs="Arial"/>
        </w:rPr>
      </w:pPr>
      <w:r w:rsidRPr="00777E26">
        <w:rPr>
          <w:rFonts w:ascii="Arial" w:hAnsi="Arial" w:cs="Arial"/>
        </w:rPr>
        <w:t>evidenční číslo bloku,</w:t>
      </w:r>
    </w:p>
    <w:p w14:paraId="0486F4CC" w14:textId="77777777" w:rsidR="00556CBB" w:rsidRPr="00777E26" w:rsidRDefault="00556CBB" w:rsidP="00556CBB">
      <w:pPr>
        <w:numPr>
          <w:ilvl w:val="1"/>
          <w:numId w:val="24"/>
        </w:numPr>
        <w:spacing w:after="0"/>
        <w:rPr>
          <w:rFonts w:ascii="Arial" w:hAnsi="Arial" w:cs="Arial"/>
        </w:rPr>
      </w:pPr>
      <w:r w:rsidRPr="00777E26">
        <w:rPr>
          <w:rFonts w:ascii="Arial" w:hAnsi="Arial" w:cs="Arial"/>
        </w:rPr>
        <w:t>jméno a příjmení, datum narození přestupce,</w:t>
      </w:r>
    </w:p>
    <w:p w14:paraId="4869EC6F" w14:textId="77777777" w:rsidR="00556CBB" w:rsidRPr="00777E26" w:rsidRDefault="00556CBB" w:rsidP="00556CBB">
      <w:pPr>
        <w:numPr>
          <w:ilvl w:val="1"/>
          <w:numId w:val="24"/>
        </w:numPr>
        <w:spacing w:after="0"/>
        <w:rPr>
          <w:rFonts w:ascii="Arial" w:hAnsi="Arial" w:cs="Arial"/>
        </w:rPr>
      </w:pPr>
      <w:r w:rsidRPr="00777E26">
        <w:rPr>
          <w:rFonts w:ascii="Arial" w:hAnsi="Arial" w:cs="Arial"/>
        </w:rPr>
        <w:t>adresa trvalého pobytu přestupce,</w:t>
      </w:r>
    </w:p>
    <w:p w14:paraId="22A02C40" w14:textId="1C404142" w:rsidR="00556CBB" w:rsidRPr="00777E26" w:rsidRDefault="00556CBB" w:rsidP="00556CBB">
      <w:pPr>
        <w:numPr>
          <w:ilvl w:val="1"/>
          <w:numId w:val="24"/>
        </w:numPr>
        <w:spacing w:after="0"/>
        <w:rPr>
          <w:rFonts w:ascii="Arial" w:hAnsi="Arial" w:cs="Arial"/>
        </w:rPr>
      </w:pPr>
      <w:r w:rsidRPr="00777E26">
        <w:rPr>
          <w:rFonts w:ascii="Arial" w:hAnsi="Arial" w:cs="Arial"/>
        </w:rPr>
        <w:t>paragraf (případně paragrafy) podle kterého se fyzická osoba (přestupce) dopustila přestupku ve tvaru „30/1-f“,</w:t>
      </w:r>
      <w:r w:rsidR="00A53243">
        <w:rPr>
          <w:rFonts w:ascii="Arial" w:hAnsi="Arial" w:cs="Arial"/>
        </w:rPr>
        <w:t xml:space="preserve"> (uvedení paragrafu odstavce a článku provedeného přestupku).</w:t>
      </w:r>
    </w:p>
    <w:p w14:paraId="75CE697D" w14:textId="77777777" w:rsidR="00556CBB" w:rsidRPr="00777E26" w:rsidRDefault="00556CBB" w:rsidP="00556CBB">
      <w:pPr>
        <w:numPr>
          <w:ilvl w:val="1"/>
          <w:numId w:val="24"/>
        </w:numPr>
        <w:spacing w:after="0"/>
        <w:rPr>
          <w:rFonts w:ascii="Arial" w:hAnsi="Arial" w:cs="Arial"/>
        </w:rPr>
      </w:pPr>
      <w:r w:rsidRPr="00777E26">
        <w:rPr>
          <w:rFonts w:ascii="Arial" w:hAnsi="Arial" w:cs="Arial"/>
        </w:rPr>
        <w:t>forma zavinění: nedbalost/úmysl,</w:t>
      </w:r>
    </w:p>
    <w:p w14:paraId="0AB1E33D" w14:textId="77777777" w:rsidR="00556CBB" w:rsidRPr="00777E26" w:rsidRDefault="00556CBB" w:rsidP="00556CBB">
      <w:pPr>
        <w:numPr>
          <w:ilvl w:val="1"/>
          <w:numId w:val="24"/>
        </w:numPr>
        <w:spacing w:after="0"/>
        <w:rPr>
          <w:rFonts w:ascii="Arial" w:hAnsi="Arial" w:cs="Arial"/>
        </w:rPr>
      </w:pPr>
      <w:r w:rsidRPr="00777E26">
        <w:rPr>
          <w:rFonts w:ascii="Arial" w:hAnsi="Arial" w:cs="Arial"/>
        </w:rPr>
        <w:t>druh sankce: pokuta/napomenutí,</w:t>
      </w:r>
    </w:p>
    <w:p w14:paraId="65675454" w14:textId="77777777" w:rsidR="00556CBB" w:rsidRPr="00777E26" w:rsidRDefault="00556CBB" w:rsidP="00556CBB">
      <w:pPr>
        <w:spacing w:after="0"/>
        <w:ind w:left="720"/>
        <w:rPr>
          <w:rFonts w:ascii="Arial" w:hAnsi="Arial" w:cs="Arial"/>
        </w:rPr>
      </w:pPr>
      <w:r w:rsidRPr="00777E26">
        <w:rPr>
          <w:rFonts w:ascii="Arial" w:hAnsi="Arial" w:cs="Arial"/>
        </w:rPr>
        <w:t>8.10 částka pokuty v Kč.</w:t>
      </w:r>
    </w:p>
    <w:p w14:paraId="481B0B0F" w14:textId="3E55045D" w:rsidR="00726A53" w:rsidRPr="00726A53" w:rsidRDefault="00726A53" w:rsidP="00726A53">
      <w:pPr>
        <w:pStyle w:val="Podnadpis"/>
        <w:jc w:val="center"/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</w:pPr>
      <w:r w:rsidRPr="00726A53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 xml:space="preserve">Článek </w:t>
      </w:r>
      <w:r w:rsidR="00855C74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>6</w:t>
      </w:r>
    </w:p>
    <w:p w14:paraId="5084118B" w14:textId="77777777" w:rsidR="00726A53" w:rsidRPr="00726A53" w:rsidRDefault="00726A53" w:rsidP="00726A53">
      <w:pPr>
        <w:pStyle w:val="Podnadpis"/>
        <w:jc w:val="center"/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</w:pPr>
      <w:r w:rsidRPr="00726A53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>Odpovědnost</w:t>
      </w:r>
    </w:p>
    <w:p w14:paraId="75A1EC31" w14:textId="4F9B0D21" w:rsidR="00726A53" w:rsidRPr="00743F40" w:rsidRDefault="00726A53" w:rsidP="00726A53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743F40">
        <w:rPr>
          <w:rFonts w:ascii="Arial" w:hAnsi="Arial" w:cs="Arial"/>
        </w:rPr>
        <w:t xml:space="preserve">Náhradu škody, kterou způsobila nebo utrpěla RS v souvislosti s výkonem činnosti podle zákona o rybářství, poskytne ve smyslu ustanovení § 18 odst. 5 zákona o rybářství příslušný obecní úřad obce s rozšířenou působností, který tuto RS ustanovil, s jejímž výkonem činnosti podle tohoto zákona vznik škody souvisí. Škodou se v tomto případě rozumí mimo jiné například také ztráta či odcizení razítka. </w:t>
      </w:r>
    </w:p>
    <w:p w14:paraId="5FEF06D0" w14:textId="44C1C0A8" w:rsidR="00726A53" w:rsidRDefault="00726A53" w:rsidP="00726A53">
      <w:pPr>
        <w:numPr>
          <w:ilvl w:val="0"/>
          <w:numId w:val="25"/>
        </w:numPr>
        <w:spacing w:after="0"/>
        <w:rPr>
          <w:rFonts w:ascii="Arial" w:hAnsi="Arial" w:cs="Arial"/>
        </w:rPr>
      </w:pPr>
      <w:r w:rsidRPr="00743F40">
        <w:rPr>
          <w:rFonts w:ascii="Arial" w:hAnsi="Arial" w:cs="Arial"/>
        </w:rPr>
        <w:t>Odpovědnost za škodu způsobenou RS v souvislosti s výkonem její činnosti podle zákona o rybářství a náhradu škody upravuje zákon č. 82/1998 Sb., o odpovědnosti za škodu způsobenou při výkonu veřejné moci rozhodnutím nebo nesprávným úředním postupem a o změně zákona č. 358/1992 Sb., o notářích a jejich činnosti (notářský řád), ve znění pozdějších předpisů.</w:t>
      </w:r>
    </w:p>
    <w:p w14:paraId="6FE552DE" w14:textId="77777777" w:rsidR="00743F40" w:rsidRPr="00743F40" w:rsidRDefault="00743F40" w:rsidP="00743F40">
      <w:pPr>
        <w:pStyle w:val="Odstavecseseznamem"/>
        <w:spacing w:after="0"/>
        <w:rPr>
          <w:rFonts w:ascii="Arial" w:hAnsi="Arial" w:cs="Arial"/>
          <w:b/>
        </w:rPr>
      </w:pPr>
    </w:p>
    <w:p w14:paraId="4BA911C6" w14:textId="6E46BFE7" w:rsidR="00743F40" w:rsidRPr="00743F40" w:rsidRDefault="00743F40" w:rsidP="00743F40">
      <w:pPr>
        <w:pStyle w:val="Podnadpis"/>
        <w:jc w:val="center"/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</w:pPr>
      <w:r w:rsidRPr="00743F40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 xml:space="preserve">Článek </w:t>
      </w:r>
      <w:r w:rsidR="000B2900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>7</w:t>
      </w:r>
    </w:p>
    <w:p w14:paraId="301BADF9" w14:textId="77777777" w:rsidR="00743F40" w:rsidRDefault="00743F40" w:rsidP="00743F40">
      <w:pPr>
        <w:pStyle w:val="Podnadpis"/>
        <w:jc w:val="center"/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</w:pPr>
      <w:r w:rsidRPr="00743F40">
        <w:rPr>
          <w:rFonts w:ascii="Arial" w:eastAsia="Calibri" w:hAnsi="Arial" w:cs="Arial"/>
          <w:iCs w:val="0"/>
          <w:color w:val="auto"/>
          <w:kern w:val="0"/>
          <w:sz w:val="22"/>
          <w:szCs w:val="22"/>
          <w14:ligatures w14:val="none"/>
        </w:rPr>
        <w:t>Závěrečná ustanovení</w:t>
      </w:r>
    </w:p>
    <w:p w14:paraId="7FBDC2D2" w14:textId="2B3CF057" w:rsidR="003A6C16" w:rsidRDefault="00743F40" w:rsidP="003A6C16">
      <w:pPr>
        <w:numPr>
          <w:ilvl w:val="0"/>
          <w:numId w:val="26"/>
        </w:numPr>
        <w:spacing w:after="0"/>
        <w:rPr>
          <w:rFonts w:ascii="Arial" w:hAnsi="Arial" w:cs="Arial"/>
        </w:rPr>
      </w:pPr>
      <w:r w:rsidRPr="00D63653">
        <w:rPr>
          <w:rFonts w:ascii="Arial" w:hAnsi="Arial" w:cs="Arial"/>
        </w:rPr>
        <w:t xml:space="preserve">Tato Směrnice je závazná pro všechny zaměstnance zařazené do Městského úřadu </w:t>
      </w:r>
      <w:r>
        <w:rPr>
          <w:rFonts w:ascii="Arial" w:hAnsi="Arial" w:cs="Arial"/>
        </w:rPr>
        <w:t>Humpolec</w:t>
      </w:r>
      <w:r w:rsidRPr="00D63653">
        <w:rPr>
          <w:rFonts w:ascii="Arial" w:hAnsi="Arial" w:cs="Arial"/>
        </w:rPr>
        <w:t xml:space="preserve">, organizačních složek, </w:t>
      </w:r>
      <w:r w:rsidRPr="00777E26">
        <w:rPr>
          <w:rFonts w:ascii="Arial" w:hAnsi="Arial" w:cs="Arial"/>
        </w:rPr>
        <w:t xml:space="preserve">ustanovenou </w:t>
      </w:r>
      <w:r>
        <w:rPr>
          <w:rFonts w:ascii="Arial" w:hAnsi="Arial" w:cs="Arial"/>
        </w:rPr>
        <w:t>RS</w:t>
      </w:r>
      <w:r w:rsidRPr="00D63653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63653">
        <w:rPr>
          <w:rFonts w:ascii="Arial" w:hAnsi="Arial" w:cs="Arial"/>
        </w:rPr>
        <w:t>ostatní zaměstnance, kteří v rámci plnění svých úkolů dostanou do kontaktu s touto agendou.</w:t>
      </w:r>
    </w:p>
    <w:p w14:paraId="21BFFB13" w14:textId="235B46F4" w:rsidR="00FB23A4" w:rsidRPr="003A6C16" w:rsidRDefault="00413229" w:rsidP="003A6C16">
      <w:pPr>
        <w:numPr>
          <w:ilvl w:val="0"/>
          <w:numId w:val="26"/>
        </w:numPr>
        <w:spacing w:after="0"/>
        <w:rPr>
          <w:rFonts w:ascii="Arial" w:hAnsi="Arial" w:cs="Arial"/>
        </w:rPr>
      </w:pPr>
      <w:r w:rsidRPr="003A6C16">
        <w:rPr>
          <w:rFonts w:ascii="Arial" w:hAnsi="Arial" w:cs="Arial"/>
        </w:rPr>
        <w:t xml:space="preserve">Nedílnou součástí této směrnice jsou následující přílohy: </w:t>
      </w:r>
      <w:r w:rsidR="00FB23A4" w:rsidRPr="003A6C16">
        <w:rPr>
          <w:rFonts w:ascii="Arial" w:hAnsi="Arial" w:cs="Arial"/>
          <w:i/>
        </w:rPr>
        <w:t>Příloha A – Deník pokutových bloků</w:t>
      </w:r>
    </w:p>
    <w:p w14:paraId="340B2B94" w14:textId="1E5E3D2F" w:rsidR="00FB23A4" w:rsidRDefault="00FB23A4" w:rsidP="00FB23A4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B22A97">
        <w:rPr>
          <w:rFonts w:ascii="Arial" w:hAnsi="Arial" w:cs="Arial"/>
          <w:i/>
        </w:rPr>
        <w:tab/>
      </w:r>
      <w:r w:rsidRPr="00C826BA">
        <w:rPr>
          <w:rFonts w:ascii="Arial" w:hAnsi="Arial" w:cs="Arial"/>
          <w:i/>
        </w:rPr>
        <w:t>Příloha B – tiskopisy k</w:t>
      </w:r>
      <w:r>
        <w:rPr>
          <w:rFonts w:ascii="Arial" w:hAnsi="Arial" w:cs="Arial"/>
          <w:i/>
        </w:rPr>
        <w:t> </w:t>
      </w:r>
      <w:r w:rsidRPr="00C826BA">
        <w:rPr>
          <w:rFonts w:ascii="Arial" w:hAnsi="Arial" w:cs="Arial"/>
          <w:i/>
        </w:rPr>
        <w:t>inventarizaci</w:t>
      </w:r>
    </w:p>
    <w:p w14:paraId="23267196" w14:textId="205DF68A" w:rsidR="008C2BFB" w:rsidRPr="00C826BA" w:rsidRDefault="00FB23A4" w:rsidP="008C2BFB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324879">
        <w:rPr>
          <w:rFonts w:ascii="Arial" w:hAnsi="Arial" w:cs="Arial"/>
          <w:i/>
        </w:rPr>
        <w:tab/>
      </w:r>
      <w:r w:rsidR="00B22A97">
        <w:rPr>
          <w:rFonts w:ascii="Arial" w:hAnsi="Arial" w:cs="Arial"/>
          <w:i/>
        </w:rPr>
        <w:tab/>
      </w:r>
      <w:r w:rsidR="008C2BFB" w:rsidRPr="00C826BA">
        <w:rPr>
          <w:rFonts w:ascii="Arial" w:hAnsi="Arial" w:cs="Arial"/>
          <w:i/>
        </w:rPr>
        <w:t xml:space="preserve">Příloha </w:t>
      </w:r>
      <w:r w:rsidR="008C2BFB">
        <w:rPr>
          <w:rFonts w:ascii="Arial" w:hAnsi="Arial" w:cs="Arial"/>
          <w:i/>
        </w:rPr>
        <w:t>C</w:t>
      </w:r>
      <w:r w:rsidR="008C2BFB" w:rsidRPr="00C826BA">
        <w:rPr>
          <w:rFonts w:ascii="Arial" w:hAnsi="Arial" w:cs="Arial"/>
          <w:i/>
        </w:rPr>
        <w:t xml:space="preserve"> – </w:t>
      </w:r>
      <w:r w:rsidR="008C2BFB">
        <w:rPr>
          <w:rFonts w:ascii="Arial" w:hAnsi="Arial" w:cs="Arial"/>
          <w:i/>
        </w:rPr>
        <w:t>celkový přehled</w:t>
      </w:r>
    </w:p>
    <w:p w14:paraId="6B2FF0D0" w14:textId="14E0562B" w:rsidR="00FB23A4" w:rsidRPr="00C826BA" w:rsidRDefault="00FB23A4" w:rsidP="00D5319E">
      <w:pPr>
        <w:spacing w:after="0"/>
        <w:ind w:left="851"/>
        <w:rPr>
          <w:rFonts w:ascii="Arial" w:hAnsi="Arial" w:cs="Arial"/>
          <w:i/>
        </w:rPr>
      </w:pPr>
    </w:p>
    <w:p w14:paraId="03F5677E" w14:textId="4C391725" w:rsidR="00743F40" w:rsidRPr="00D5319E" w:rsidRDefault="00743F40" w:rsidP="00D5319E">
      <w:pPr>
        <w:pStyle w:val="Odstavecseseznamem"/>
        <w:numPr>
          <w:ilvl w:val="0"/>
          <w:numId w:val="26"/>
        </w:numPr>
        <w:spacing w:after="0"/>
        <w:rPr>
          <w:rFonts w:ascii="Arial" w:hAnsi="Arial" w:cs="Arial"/>
          <w:color w:val="auto"/>
        </w:rPr>
      </w:pPr>
      <w:r w:rsidRPr="00D5319E">
        <w:rPr>
          <w:rFonts w:ascii="Arial" w:hAnsi="Arial" w:cs="Arial"/>
        </w:rPr>
        <w:lastRenderedPageBreak/>
        <w:t>Tato Směrnice nabývá účinnosti dnem</w:t>
      </w:r>
      <w:r w:rsidR="00413229" w:rsidRPr="00D5319E">
        <w:rPr>
          <w:rFonts w:ascii="Arial" w:hAnsi="Arial" w:cs="Arial"/>
          <w:color w:val="FF0000"/>
        </w:rPr>
        <w:t xml:space="preserve"> </w:t>
      </w:r>
      <w:r w:rsidR="00413229" w:rsidRPr="00D5319E">
        <w:rPr>
          <w:rFonts w:ascii="Arial" w:hAnsi="Arial" w:cs="Arial"/>
          <w:color w:val="auto"/>
        </w:rPr>
        <w:t>xx.xx.2026.</w:t>
      </w:r>
    </w:p>
    <w:p w14:paraId="67486F56" w14:textId="77777777" w:rsidR="00D5319E" w:rsidRDefault="00D5319E" w:rsidP="00B22A97">
      <w:pPr>
        <w:pStyle w:val="Odstavecseseznamem"/>
        <w:spacing w:before="120" w:after="0"/>
        <w:rPr>
          <w:rFonts w:ascii="Arial" w:hAnsi="Arial" w:cs="Arial"/>
        </w:rPr>
      </w:pPr>
    </w:p>
    <w:p w14:paraId="4DDCE641" w14:textId="683C2AF2" w:rsidR="00B22A97" w:rsidRDefault="00743F40" w:rsidP="00B22A97">
      <w:pPr>
        <w:pStyle w:val="Odstavecseseznamem"/>
        <w:spacing w:before="120" w:after="0"/>
        <w:rPr>
          <w:rFonts w:ascii="Arial" w:hAnsi="Arial" w:cs="Arial"/>
          <w:color w:val="auto"/>
        </w:rPr>
      </w:pPr>
      <w:r w:rsidRPr="00743F40">
        <w:rPr>
          <w:rFonts w:ascii="Arial" w:hAnsi="Arial" w:cs="Arial"/>
        </w:rPr>
        <w:t>V </w:t>
      </w:r>
      <w:r>
        <w:rPr>
          <w:rFonts w:ascii="Arial" w:hAnsi="Arial" w:cs="Arial"/>
        </w:rPr>
        <w:t>Humpolci</w:t>
      </w:r>
      <w:r w:rsidRPr="00743F40">
        <w:rPr>
          <w:rFonts w:ascii="Arial" w:hAnsi="Arial" w:cs="Arial"/>
        </w:rPr>
        <w:t xml:space="preserve"> dne </w:t>
      </w:r>
      <w:r w:rsidRPr="003A6C16">
        <w:rPr>
          <w:rFonts w:ascii="Arial" w:hAnsi="Arial" w:cs="Arial"/>
          <w:color w:val="auto"/>
        </w:rPr>
        <w:t>……….</w:t>
      </w:r>
    </w:p>
    <w:p w14:paraId="0FAEC904" w14:textId="77777777" w:rsidR="001E0C15" w:rsidRDefault="001E0C15" w:rsidP="000F78D8">
      <w:pPr>
        <w:spacing w:after="0"/>
        <w:rPr>
          <w:rFonts w:ascii="Arial" w:hAnsi="Arial" w:cs="Arial"/>
          <w:i/>
        </w:rPr>
      </w:pPr>
    </w:p>
    <w:p w14:paraId="38CE7611" w14:textId="77777777" w:rsidR="00D5319E" w:rsidRDefault="00D5319E" w:rsidP="000F78D8">
      <w:pPr>
        <w:spacing w:after="0"/>
        <w:rPr>
          <w:rFonts w:ascii="Arial" w:hAnsi="Arial" w:cs="Arial"/>
          <w:i/>
        </w:rPr>
      </w:pPr>
    </w:p>
    <w:p w14:paraId="236D64B9" w14:textId="77777777" w:rsidR="00D5319E" w:rsidRDefault="00D5319E" w:rsidP="000F78D8">
      <w:pPr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</w:t>
      </w:r>
    </w:p>
    <w:p w14:paraId="2A5ED6AF" w14:textId="77777777" w:rsidR="00D5319E" w:rsidRDefault="00D5319E" w:rsidP="000F78D8">
      <w:pPr>
        <w:spacing w:after="0"/>
        <w:rPr>
          <w:rFonts w:ascii="Arial" w:hAnsi="Arial" w:cs="Arial"/>
          <w:iCs/>
        </w:rPr>
      </w:pPr>
    </w:p>
    <w:p w14:paraId="370D8742" w14:textId="77777777" w:rsidR="00D5319E" w:rsidRDefault="00D5319E" w:rsidP="000F78D8">
      <w:pPr>
        <w:spacing w:after="0"/>
        <w:rPr>
          <w:rFonts w:ascii="Arial" w:hAnsi="Arial" w:cs="Arial"/>
          <w:iCs/>
        </w:rPr>
      </w:pPr>
    </w:p>
    <w:p w14:paraId="41FD6924" w14:textId="77777777" w:rsidR="00D5319E" w:rsidRDefault="00D5319E" w:rsidP="000F78D8">
      <w:pPr>
        <w:spacing w:after="0"/>
        <w:rPr>
          <w:rFonts w:ascii="Arial" w:hAnsi="Arial" w:cs="Arial"/>
          <w:iCs/>
        </w:rPr>
      </w:pPr>
    </w:p>
    <w:p w14:paraId="487570F9" w14:textId="6472B1B6" w:rsidR="00D5319E" w:rsidRPr="00D5319E" w:rsidRDefault="00D5319E" w:rsidP="00D5319E">
      <w:pPr>
        <w:spacing w:after="0"/>
        <w:ind w:left="7513"/>
        <w:rPr>
          <w:rFonts w:ascii="Arial" w:hAnsi="Arial" w:cs="Arial"/>
          <w:iCs/>
        </w:rPr>
      </w:pPr>
      <w:r w:rsidRPr="00D5319E">
        <w:rPr>
          <w:rFonts w:ascii="Arial" w:hAnsi="Arial" w:cs="Arial"/>
          <w:iCs/>
        </w:rPr>
        <w:t>Mgr. Jiří Fiala</w:t>
      </w:r>
    </w:p>
    <w:p w14:paraId="0754EB05" w14:textId="5244A81E" w:rsidR="00D5319E" w:rsidRPr="00D5319E" w:rsidRDefault="00D5319E" w:rsidP="00D5319E">
      <w:pPr>
        <w:spacing w:after="0"/>
        <w:ind w:left="6946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</w:t>
      </w:r>
      <w:r w:rsidRPr="00D5319E">
        <w:rPr>
          <w:rFonts w:ascii="Arial" w:hAnsi="Arial" w:cs="Arial"/>
          <w:iCs/>
        </w:rPr>
        <w:t>ajemník MěÚ Humpolec</w:t>
      </w:r>
    </w:p>
    <w:p w14:paraId="155E73B3" w14:textId="77777777" w:rsidR="00D5319E" w:rsidRDefault="00D5319E" w:rsidP="000F78D8">
      <w:pPr>
        <w:spacing w:after="0"/>
        <w:rPr>
          <w:rFonts w:ascii="Arial" w:hAnsi="Arial" w:cs="Arial"/>
          <w:i/>
        </w:rPr>
      </w:pPr>
    </w:p>
    <w:p w14:paraId="2729CB9F" w14:textId="77777777" w:rsidR="00D5319E" w:rsidRDefault="00D5319E" w:rsidP="000F78D8">
      <w:pPr>
        <w:spacing w:after="0"/>
        <w:rPr>
          <w:rFonts w:ascii="Arial" w:hAnsi="Arial" w:cs="Arial"/>
          <w:i/>
        </w:rPr>
      </w:pPr>
    </w:p>
    <w:p w14:paraId="75A3C658" w14:textId="77777777" w:rsidR="00D5319E" w:rsidRDefault="00D5319E" w:rsidP="000F78D8">
      <w:pPr>
        <w:spacing w:after="0"/>
        <w:rPr>
          <w:rFonts w:ascii="Arial" w:hAnsi="Arial" w:cs="Arial"/>
          <w:i/>
        </w:rPr>
      </w:pPr>
    </w:p>
    <w:p w14:paraId="5495B119" w14:textId="77777777" w:rsidR="00D5319E" w:rsidRDefault="00D5319E" w:rsidP="000F78D8">
      <w:pPr>
        <w:spacing w:after="0"/>
        <w:rPr>
          <w:rFonts w:ascii="Arial" w:hAnsi="Arial" w:cs="Arial"/>
          <w:i/>
        </w:rPr>
      </w:pPr>
    </w:p>
    <w:p w14:paraId="460D7871" w14:textId="3DB82DB7" w:rsidR="00D5319E" w:rsidRDefault="00D5319E" w:rsidP="000F78D8">
      <w:pPr>
        <w:spacing w:after="0"/>
        <w:rPr>
          <w:rFonts w:ascii="Arial" w:hAnsi="Arial" w:cs="Arial"/>
          <w:i/>
        </w:rPr>
        <w:sectPr w:rsidR="00D5319E" w:rsidSect="00B22A9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495" w:right="1361" w:bottom="3714" w:left="1134" w:header="964" w:footer="907" w:gutter="0"/>
          <w:cols w:space="708"/>
          <w:formProt w:val="0"/>
          <w:docGrid w:linePitch="360"/>
        </w:sectPr>
      </w:pPr>
    </w:p>
    <w:p w14:paraId="0DD25C66" w14:textId="77777777" w:rsidR="000F78D8" w:rsidRDefault="000F78D8" w:rsidP="000F78D8">
      <w:pPr>
        <w:spacing w:after="0"/>
        <w:rPr>
          <w:rFonts w:ascii="Arial" w:hAnsi="Arial" w:cs="Arial"/>
          <w:i/>
        </w:rPr>
      </w:pPr>
      <w:r w:rsidRPr="00C826BA">
        <w:rPr>
          <w:rFonts w:ascii="Arial" w:hAnsi="Arial" w:cs="Arial"/>
          <w:i/>
        </w:rPr>
        <w:lastRenderedPageBreak/>
        <w:t xml:space="preserve">Příloha </w:t>
      </w:r>
      <w:r>
        <w:rPr>
          <w:rFonts w:ascii="Arial" w:hAnsi="Arial" w:cs="Arial"/>
          <w:i/>
        </w:rPr>
        <w:t>A</w:t>
      </w:r>
      <w:r w:rsidRPr="00C826BA">
        <w:rPr>
          <w:rFonts w:ascii="Arial" w:hAnsi="Arial" w:cs="Arial"/>
          <w:i/>
        </w:rPr>
        <w:t xml:space="preserve"> – </w:t>
      </w:r>
      <w:r>
        <w:rPr>
          <w:rFonts w:ascii="Arial" w:hAnsi="Arial" w:cs="Arial"/>
          <w:i/>
        </w:rPr>
        <w:t>Deník pokutových bloků</w:t>
      </w:r>
    </w:p>
    <w:p w14:paraId="5A2F6442" w14:textId="77777777" w:rsidR="000F78D8" w:rsidRDefault="000F78D8" w:rsidP="000F78D8">
      <w:pPr>
        <w:spacing w:after="0"/>
        <w:rPr>
          <w:rFonts w:ascii="Arial" w:hAnsi="Arial" w:cs="Arial"/>
          <w:i/>
        </w:rPr>
      </w:pPr>
    </w:p>
    <w:tbl>
      <w:tblPr>
        <w:tblW w:w="128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594"/>
        <w:gridCol w:w="649"/>
        <w:gridCol w:w="1321"/>
        <w:gridCol w:w="913"/>
        <w:gridCol w:w="922"/>
        <w:gridCol w:w="1142"/>
        <w:gridCol w:w="857"/>
        <w:gridCol w:w="916"/>
        <w:gridCol w:w="1673"/>
        <w:gridCol w:w="732"/>
        <w:gridCol w:w="1106"/>
        <w:gridCol w:w="1196"/>
      </w:tblGrid>
      <w:tr w:rsidR="000F78D8" w:rsidRPr="004C19A8" w14:paraId="3D0473E3" w14:textId="77777777" w:rsidTr="00431629">
        <w:trPr>
          <w:trHeight w:val="333"/>
        </w:trPr>
        <w:tc>
          <w:tcPr>
            <w:tcW w:w="1285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2273" w14:textId="7777777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C19A8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>Deník pokutových bloků</w:t>
            </w:r>
          </w:p>
        </w:tc>
      </w:tr>
      <w:tr w:rsidR="000F78D8" w:rsidRPr="004C19A8" w14:paraId="6F4769B2" w14:textId="77777777" w:rsidTr="00431629">
        <w:trPr>
          <w:trHeight w:val="347"/>
        </w:trPr>
        <w:tc>
          <w:tcPr>
            <w:tcW w:w="12855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DEAAB2" w14:textId="7777777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C19A8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Jméno RS ……………………... Příjmení RS ……………………... Služební odznak č. ………………………</w:t>
            </w:r>
          </w:p>
        </w:tc>
      </w:tr>
      <w:tr w:rsidR="000F78D8" w:rsidRPr="004C19A8" w14:paraId="1327EB9A" w14:textId="77777777" w:rsidTr="00431629">
        <w:trPr>
          <w:trHeight w:val="347"/>
        </w:trPr>
        <w:tc>
          <w:tcPr>
            <w:tcW w:w="72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1AEB565" w14:textId="77777777" w:rsidR="000F78D8" w:rsidRPr="004C19A8" w:rsidRDefault="000F78D8" w:rsidP="000F78D8">
            <w:pPr>
              <w:spacing w:after="0"/>
              <w:ind w:firstLine="159"/>
              <w:jc w:val="center"/>
              <w:rPr>
                <w:rFonts w:eastAsia="Times New Roman" w:cs="Calibri"/>
                <w:color w:val="000000"/>
                <w:sz w:val="28"/>
                <w:szCs w:val="28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sz w:val="28"/>
                <w:szCs w:val="28"/>
                <w:lang w:eastAsia="cs-CZ"/>
              </w:rPr>
              <w:t>Část určená pro FO</w:t>
            </w:r>
          </w:p>
        </w:tc>
        <w:tc>
          <w:tcPr>
            <w:tcW w:w="5571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4671B48A" w14:textId="7777777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sz w:val="28"/>
                <w:szCs w:val="28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sz w:val="28"/>
                <w:szCs w:val="28"/>
                <w:lang w:eastAsia="cs-CZ"/>
              </w:rPr>
              <w:t>Část určená pro RS</w:t>
            </w:r>
          </w:p>
        </w:tc>
      </w:tr>
      <w:tr w:rsidR="000F78D8" w:rsidRPr="004C19A8" w14:paraId="11AB3D8F" w14:textId="77777777" w:rsidTr="00431629">
        <w:trPr>
          <w:trHeight w:val="814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8621C6" w14:textId="5469A243" w:rsidR="000F78D8" w:rsidRPr="004C19A8" w:rsidRDefault="000F78D8" w:rsidP="002908FF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CA96ED" w14:textId="7777777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série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0CCE74" w14:textId="7777777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číslo bloku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58EF24" w14:textId="7777777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jméno, příjmení přestupce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DAF7FF" w14:textId="7777777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trvale bytem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68B073" w14:textId="7777777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datum narození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45DFA1" w14:textId="7777777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částka pokuty v Kč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A0F1A3" w14:textId="7777777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datum uložení pokuty</w:t>
            </w:r>
          </w:p>
        </w:tc>
        <w:tc>
          <w:tcPr>
            <w:tcW w:w="89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2E55C" w14:textId="7777777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paragraf §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5F0E2" w14:textId="7777777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forma zavinění: nedbalost/úmysl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6EEAF" w14:textId="7777777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č. revíru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F8E95" w14:textId="7777777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další přítomná RS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DD041" w14:textId="7777777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poznámka</w:t>
            </w:r>
          </w:p>
        </w:tc>
      </w:tr>
      <w:tr w:rsidR="000F78D8" w:rsidRPr="004C19A8" w14:paraId="06FF82B9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6558A9" w14:textId="7382CAC4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30B2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0CAF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5E42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C4CC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9024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7A3C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942BD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18B6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E5F8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2B7F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56CB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8714E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0F78D8" w:rsidRPr="004C19A8" w14:paraId="401EA0D8" w14:textId="77777777" w:rsidTr="00431629">
        <w:trPr>
          <w:trHeight w:val="267"/>
        </w:trPr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AE54" w14:textId="7BA9A6A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8C0F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D01F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29B3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9C36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717A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0F18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AC0EC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CFDE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189E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533E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2872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D57CB9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0F78D8" w:rsidRPr="004C19A8" w14:paraId="63A3675B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5DED" w14:textId="366B52C6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36AD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3BC6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0C38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B2C3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A468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DACA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D22EA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594D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C733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BC68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A331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367E98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0F78D8" w:rsidRPr="004C19A8" w14:paraId="773429CF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FB9B" w14:textId="4E534461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3237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37B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D86C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6D8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495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F65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DD40C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0E6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3129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EA9A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07B1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3BA6F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0F78D8" w:rsidRPr="004C19A8" w14:paraId="1503EC66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E336" w14:textId="6B731DE5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4F9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CD1D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9E0A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AA92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5AB6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D061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511864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979B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0913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E9BB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7DE2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42FD80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0F78D8" w:rsidRPr="004C19A8" w14:paraId="273DAB4E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B0D0" w14:textId="3A4EC02B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F867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3CEA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D160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06CD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9F6B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A781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F05B0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F44C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ECC3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D6EB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ECA9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0C977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0F78D8" w:rsidRPr="004C19A8" w14:paraId="3EF5E417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9759" w14:textId="7A2F13B3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D3CE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283B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2139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591D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A81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F70F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5D497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6C0A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848B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71DC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C297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1CE124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0F78D8" w:rsidRPr="004C19A8" w14:paraId="4BB7EB18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212A" w14:textId="7B13B14F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4E27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1EC9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DF29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EF14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9B2B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B6B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121C9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E24D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8C59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0D2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23FA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75F7FF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0F78D8" w:rsidRPr="004C19A8" w14:paraId="0F531D9F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E26A" w14:textId="3D862A7F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EF8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BA8D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892A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F736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9C46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F21C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BFD5B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5616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758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159A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AE2F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EF0A7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0F78D8" w:rsidRPr="004C19A8" w14:paraId="35FAF7E4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2645" w14:textId="5F191B48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DFCF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F19F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6769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EA5B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7C47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73C2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78349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6EFE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008E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323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074E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CEC1D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0F78D8" w:rsidRPr="004C19A8" w14:paraId="014F7E0C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BA1F" w14:textId="61388E7E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1E5C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AD3B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62EF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54FF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A350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0477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AF8E3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E406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7F90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98CC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89A6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38059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0F78D8" w:rsidRPr="004C19A8" w14:paraId="17018D88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502D" w14:textId="51BF62D8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AE11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99FE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7A9E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D4F8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F234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9302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75D3E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B8C3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00BD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42D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95A2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B40CB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0F78D8" w:rsidRPr="004C19A8" w14:paraId="00BEC6CD" w14:textId="77777777" w:rsidTr="00431629">
        <w:trPr>
          <w:trHeight w:val="28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9F4F75" w14:textId="363FE7F7" w:rsidR="000F78D8" w:rsidRPr="004C19A8" w:rsidRDefault="000F78D8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B8060F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CD3D0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AAE546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2A7D08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0B6424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0D7074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9FCE88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C320AF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C994EB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62CFD0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CB539A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530A4C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0F78D8" w:rsidRPr="004C19A8" w14:paraId="4C3AB71D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5B00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celkem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CF2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69A3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745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C86E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FF00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7113" w14:textId="77777777" w:rsidR="000F78D8" w:rsidRPr="004C19A8" w:rsidRDefault="000F78D8" w:rsidP="00431629">
            <w:pPr>
              <w:spacing w:after="0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0,00 Kč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CA1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5BD9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73F8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A64C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63BD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10FD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0F78D8" w:rsidRPr="004C19A8" w14:paraId="00DBE6CA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C17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6AE3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67F2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94D2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3F0F7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01CF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2B8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49D3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DDD5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2316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D809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B154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B81C" w14:textId="77777777" w:rsidR="000F78D8" w:rsidRPr="004C19A8" w:rsidRDefault="000F78D8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6976AC" w:rsidRPr="004C19A8" w14:paraId="1712ABC2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73FB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Dne: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182F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AAAA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0710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Předal: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B957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3836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6853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29F9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E58F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  <w:r w:rsidRPr="004C19A8">
              <w:rPr>
                <w:rFonts w:eastAsia="Times New Roman" w:cs="Calibri"/>
                <w:color w:val="000000"/>
                <w:lang w:eastAsia="cs-CZ"/>
              </w:rPr>
              <w:t>Převzal: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9052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4686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4703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311A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6976AC" w:rsidRPr="004C19A8" w14:paraId="7E9858AE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E7E0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5145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9630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8C46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354C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4C3E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EA19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B081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FC3C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6C8D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467F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57D8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CDEA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6976AC" w:rsidRPr="004C19A8" w14:paraId="76C3F903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00C6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859E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E87F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31C5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200B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18CC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F293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A82C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97B8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51BA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04EB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75A0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5530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6976AC" w:rsidRPr="004C19A8" w14:paraId="20CF0EED" w14:textId="77777777" w:rsidTr="00431629">
        <w:trPr>
          <w:trHeight w:val="267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DB7A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CD09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9374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CA65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44E7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4550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B70C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2EE9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7B89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F6E8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0EB5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F9DD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7164" w14:textId="77777777" w:rsidR="006976AC" w:rsidRPr="004C19A8" w:rsidRDefault="006976AC" w:rsidP="006976AC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14:paraId="427C6ED7" w14:textId="77777777" w:rsidR="001E0C15" w:rsidRDefault="001E0C15" w:rsidP="006976AC">
      <w:pPr>
        <w:spacing w:after="160" w:line="259" w:lineRule="auto"/>
        <w:jc w:val="left"/>
        <w:rPr>
          <w:rFonts w:ascii="Arial" w:hAnsi="Arial" w:cs="Arial"/>
          <w:highlight w:val="yellow"/>
        </w:rPr>
        <w:sectPr w:rsidR="001E0C15" w:rsidSect="00B22A97">
          <w:pgSz w:w="16838" w:h="11906" w:orient="landscape" w:code="9"/>
          <w:pgMar w:top="1361" w:right="3714" w:bottom="1134" w:left="2495" w:header="1038" w:footer="907" w:gutter="0"/>
          <w:cols w:space="708"/>
          <w:formProt w:val="0"/>
          <w:docGrid w:linePitch="360"/>
        </w:sectPr>
      </w:pPr>
    </w:p>
    <w:p w14:paraId="3AB518A7" w14:textId="77777777" w:rsidR="002A3B19" w:rsidRPr="0038220B" w:rsidRDefault="002A3B19" w:rsidP="006976AC">
      <w:pPr>
        <w:spacing w:after="0"/>
        <w:rPr>
          <w:rFonts w:ascii="Arial" w:hAnsi="Arial" w:cs="Arial"/>
          <w:highlight w:val="yellow"/>
        </w:rPr>
      </w:pPr>
    </w:p>
    <w:bookmarkEnd w:id="1"/>
    <w:p w14:paraId="507FA3BF" w14:textId="77777777" w:rsidR="001E0C15" w:rsidRPr="00C826BA" w:rsidRDefault="001E0C15" w:rsidP="001E0C15">
      <w:pPr>
        <w:spacing w:after="0"/>
        <w:rPr>
          <w:rFonts w:ascii="Arial" w:hAnsi="Arial" w:cs="Arial"/>
          <w:i/>
        </w:rPr>
      </w:pPr>
      <w:r w:rsidRPr="00C826BA">
        <w:rPr>
          <w:rFonts w:ascii="Arial" w:hAnsi="Arial" w:cs="Arial"/>
          <w:i/>
        </w:rPr>
        <w:t>Příloha B – tiskopisy k inventarizaci</w:t>
      </w:r>
    </w:p>
    <w:p w14:paraId="4BB9B180" w14:textId="77777777" w:rsidR="001E0C15" w:rsidRPr="005F6FD1" w:rsidRDefault="001E0C15" w:rsidP="001E0C15">
      <w:pPr>
        <w:spacing w:after="0"/>
        <w:rPr>
          <w:rFonts w:ascii="Arial" w:hAnsi="Arial" w:cs="Arial"/>
          <w:szCs w:val="20"/>
        </w:rPr>
      </w:pPr>
    </w:p>
    <w:p w14:paraId="2DDB508C" w14:textId="77777777" w:rsidR="001E0C15" w:rsidRDefault="001E0C15" w:rsidP="001E0C15">
      <w:pPr>
        <w:spacing w:after="0"/>
        <w:rPr>
          <w:rFonts w:ascii="Arial" w:hAnsi="Arial" w:cs="Arial"/>
        </w:rPr>
      </w:pPr>
      <w:r w:rsidRPr="00F31586">
        <w:rPr>
          <w:rFonts w:ascii="Arial" w:hAnsi="Arial" w:cs="Arial"/>
        </w:rPr>
        <w:tab/>
      </w:r>
      <w:r w:rsidRPr="00F31586">
        <w:rPr>
          <w:rFonts w:ascii="Arial" w:hAnsi="Arial" w:cs="Arial"/>
        </w:rPr>
        <w:tab/>
      </w:r>
      <w:r w:rsidRPr="00F31586">
        <w:rPr>
          <w:rFonts w:ascii="Arial" w:hAnsi="Arial" w:cs="Arial"/>
        </w:rPr>
        <w:tab/>
      </w:r>
      <w:r w:rsidRPr="00F31586">
        <w:rPr>
          <w:rFonts w:ascii="Arial" w:hAnsi="Arial" w:cs="Arial"/>
        </w:rPr>
        <w:tab/>
      </w:r>
      <w:r w:rsidRPr="00F31586">
        <w:rPr>
          <w:rFonts w:ascii="Arial" w:hAnsi="Arial" w:cs="Arial"/>
        </w:rPr>
        <w:tab/>
      </w:r>
      <w:r w:rsidRPr="00F31586">
        <w:rPr>
          <w:rFonts w:ascii="Arial" w:hAnsi="Arial" w:cs="Arial"/>
        </w:rPr>
        <w:tab/>
      </w:r>
    </w:p>
    <w:tbl>
      <w:tblPr>
        <w:tblW w:w="90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603"/>
        <w:gridCol w:w="105"/>
        <w:gridCol w:w="160"/>
        <w:gridCol w:w="522"/>
        <w:gridCol w:w="212"/>
        <w:gridCol w:w="856"/>
        <w:gridCol w:w="419"/>
        <w:gridCol w:w="1726"/>
        <w:gridCol w:w="259"/>
        <w:gridCol w:w="1886"/>
        <w:gridCol w:w="98"/>
        <w:gridCol w:w="1629"/>
      </w:tblGrid>
      <w:tr w:rsidR="001E0C15" w:rsidRPr="009C3C8A" w14:paraId="125A502F" w14:textId="77777777" w:rsidTr="00431629">
        <w:trPr>
          <w:trHeight w:val="114"/>
        </w:trPr>
        <w:tc>
          <w:tcPr>
            <w:tcW w:w="909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C48E" w14:textId="77777777" w:rsidR="001E0C15" w:rsidRPr="00664D31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4D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Inventurní soupis č.</w:t>
            </w:r>
          </w:p>
        </w:tc>
      </w:tr>
      <w:tr w:rsidR="001E0C15" w:rsidRPr="009C3C8A" w14:paraId="60EC89BA" w14:textId="77777777" w:rsidTr="00431629">
        <w:trPr>
          <w:trHeight w:val="109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D153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241D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2089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03DB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CB77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6513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1E0C15" w:rsidRPr="0024343C" w14:paraId="06EFB7F0" w14:textId="77777777" w:rsidTr="00431629">
        <w:trPr>
          <w:trHeight w:val="114"/>
        </w:trPr>
        <w:tc>
          <w:tcPr>
            <w:tcW w:w="34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A046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Inventarizace provedena ke dni: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995C" w14:textId="77777777" w:rsidR="001E0C15" w:rsidRPr="003E348F" w:rsidRDefault="001E0C15" w:rsidP="0043162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31.12.20</w:t>
            </w:r>
            <w:r w:rsidRPr="003E348F">
              <w:rPr>
                <w:rFonts w:ascii="Arial" w:eastAsia="Times New Roman" w:hAnsi="Arial" w:cs="Arial"/>
                <w:color w:val="000000"/>
                <w:szCs w:val="20"/>
                <w:highlight w:val="yellow"/>
                <w:lang w:eastAsia="cs-CZ"/>
              </w:rPr>
              <w:t>XX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490B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171F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24343C" w14:paraId="61457C7E" w14:textId="77777777" w:rsidTr="00431629">
        <w:trPr>
          <w:trHeight w:val="114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2417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5F26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F1A5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33AA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C9D0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0E3A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9C3C8A" w14:paraId="6B6A259B" w14:textId="77777777" w:rsidTr="00431629">
        <w:trPr>
          <w:trHeight w:val="114"/>
        </w:trPr>
        <w:tc>
          <w:tcPr>
            <w:tcW w:w="34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DB2B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Inventarizace účtu číslo:</w:t>
            </w:r>
          </w:p>
        </w:tc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75E1F4" w14:textId="45AE76CD" w:rsidR="001E0C15" w:rsidRPr="003E348F" w:rsidRDefault="000741E3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0741E3">
              <w:rPr>
                <w:rFonts w:ascii="Arial" w:eastAsia="Times New Roman" w:hAnsi="Arial" w:cs="Arial"/>
                <w:i/>
                <w:iCs/>
                <w:color w:val="EE0000"/>
                <w:szCs w:val="20"/>
                <w:lang w:eastAsia="cs-CZ"/>
              </w:rPr>
              <w:t>Skladové číslo</w:t>
            </w:r>
            <w:r w:rsidR="001E0C15" w:rsidRPr="000741E3">
              <w:rPr>
                <w:rFonts w:ascii="Arial" w:eastAsia="Times New Roman" w:hAnsi="Arial" w:cs="Arial"/>
                <w:color w:val="EE0000"/>
                <w:szCs w:val="20"/>
                <w:lang w:eastAsia="cs-CZ"/>
              </w:rPr>
              <w:t xml:space="preserve"> </w:t>
            </w:r>
            <w:r w:rsidR="001E0C15"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příkazové</w:t>
            </w:r>
            <w:r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ho</w:t>
            </w:r>
            <w:r w:rsidR="001E0C15"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 xml:space="preserve"> blok</w:t>
            </w:r>
            <w:r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u</w:t>
            </w:r>
            <w:r w:rsidR="001E0C15"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 xml:space="preserve"> na pokuty na místě zaplacené</w:t>
            </w:r>
            <w:r w:rsidR="00912E0D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/nezaplacené</w:t>
            </w:r>
            <w:r w:rsidR="001E0C15"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 xml:space="preserve"> za přestupky ukládané krajskými úřady nebo obcemi</w:t>
            </w:r>
          </w:p>
        </w:tc>
      </w:tr>
      <w:tr w:rsidR="001E0C15" w:rsidRPr="0024343C" w14:paraId="5032BF53" w14:textId="77777777" w:rsidTr="00431629">
        <w:trPr>
          <w:trHeight w:val="120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8E96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0442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0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23CD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68C9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9D6B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E6C3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24343C" w14:paraId="69DF1869" w14:textId="77777777" w:rsidTr="00431629">
        <w:trPr>
          <w:trHeight w:val="114"/>
        </w:trPr>
        <w:tc>
          <w:tcPr>
            <w:tcW w:w="12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E2AFFD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účet</w:t>
            </w:r>
          </w:p>
        </w:tc>
        <w:tc>
          <w:tcPr>
            <w:tcW w:w="2274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8658C6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název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0871EE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zjištěný účetní stav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0794AC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zjištěný skutečný stav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DF62D3" w14:textId="77777777" w:rsidR="001E0C15" w:rsidRPr="009C3C8A" w:rsidRDefault="001E0C15" w:rsidP="0043162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  <w:r w:rsidRPr="009C3C8A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inventarizační rozdíl</w:t>
            </w:r>
          </w:p>
        </w:tc>
      </w:tr>
      <w:tr w:rsidR="001E0C15" w:rsidRPr="0024343C" w14:paraId="7A1440DE" w14:textId="77777777" w:rsidTr="00431629">
        <w:trPr>
          <w:trHeight w:val="12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8533B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SU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DC52A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AU</w:t>
            </w:r>
          </w:p>
        </w:tc>
        <w:tc>
          <w:tcPr>
            <w:tcW w:w="2274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61C814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458FCB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A2123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5ECA5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24343C" w14:paraId="04111F65" w14:textId="77777777" w:rsidTr="00431629">
        <w:trPr>
          <w:trHeight w:val="114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7710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88BC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2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921A" w14:textId="1E70EA22" w:rsidR="00583203" w:rsidRPr="003E348F" w:rsidRDefault="000741E3" w:rsidP="0058320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EE0000"/>
                <w:szCs w:val="20"/>
                <w:lang w:eastAsia="cs-CZ"/>
              </w:rPr>
              <w:t>S</w:t>
            </w:r>
            <w:r w:rsidRPr="000741E3">
              <w:rPr>
                <w:rFonts w:ascii="Arial" w:eastAsia="Times New Roman" w:hAnsi="Arial" w:cs="Arial"/>
                <w:i/>
                <w:iCs/>
                <w:color w:val="EE0000"/>
                <w:szCs w:val="20"/>
                <w:lang w:eastAsia="cs-CZ"/>
              </w:rPr>
              <w:t>kladové číslo</w:t>
            </w:r>
            <w:r w:rsidR="001E0C15" w:rsidRPr="000741E3">
              <w:rPr>
                <w:rFonts w:ascii="Arial" w:eastAsia="Times New Roman" w:hAnsi="Arial" w:cs="Arial"/>
                <w:color w:val="EE0000"/>
                <w:szCs w:val="20"/>
                <w:lang w:eastAsia="cs-CZ"/>
              </w:rPr>
              <w:t xml:space="preserve"> </w:t>
            </w:r>
            <w:r w:rsidR="001E0C15"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příkazové</w:t>
            </w:r>
            <w:r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ho</w:t>
            </w:r>
            <w:r w:rsidR="001E0C15"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 xml:space="preserve"> blok</w:t>
            </w:r>
            <w:r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u</w:t>
            </w:r>
            <w:r w:rsidR="001E0C15"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 xml:space="preserve"> na pokuty na místě zaplacené</w:t>
            </w:r>
            <w:r w:rsidR="00583203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/nezaplacené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C84F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ks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68DF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ks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551B9D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  <w:r w:rsidRPr="009C3C8A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 </w:t>
            </w:r>
          </w:p>
        </w:tc>
      </w:tr>
      <w:tr w:rsidR="001E0C15" w:rsidRPr="0024343C" w14:paraId="39ED09BD" w14:textId="77777777" w:rsidTr="00431629">
        <w:trPr>
          <w:trHeight w:val="114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1280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883CE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3E5D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6F66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4809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7303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24343C" w14:paraId="0D33EBD3" w14:textId="77777777" w:rsidTr="00431629">
        <w:trPr>
          <w:trHeight w:val="114"/>
        </w:trPr>
        <w:tc>
          <w:tcPr>
            <w:tcW w:w="2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74B8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Forma inventury: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A79C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FFF3AD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fyzická inventura</w:t>
            </w:r>
          </w:p>
        </w:tc>
      </w:tr>
      <w:tr w:rsidR="001E0C15" w:rsidRPr="0024343C" w14:paraId="6E07B5A3" w14:textId="77777777" w:rsidTr="00431629">
        <w:trPr>
          <w:trHeight w:val="114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A511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457C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6462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089A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BF4D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F87D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9C3C8A" w14:paraId="38D6744D" w14:textId="77777777" w:rsidTr="00431629">
        <w:trPr>
          <w:trHeight w:val="114"/>
        </w:trPr>
        <w:tc>
          <w:tcPr>
            <w:tcW w:w="34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3370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Způsob zjišťování skutečného stavu:</w:t>
            </w:r>
          </w:p>
        </w:tc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522808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fyzicky - počítáním</w:t>
            </w:r>
          </w:p>
        </w:tc>
      </w:tr>
      <w:tr w:rsidR="001E0C15" w:rsidRPr="0024343C" w14:paraId="3C6DD65F" w14:textId="77777777" w:rsidTr="00431629">
        <w:trPr>
          <w:trHeight w:val="114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8D0F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3F2F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B389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50DC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C357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BC04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24343C" w14:paraId="1273A0A0" w14:textId="77777777" w:rsidTr="00431629">
        <w:trPr>
          <w:trHeight w:val="114"/>
        </w:trPr>
        <w:tc>
          <w:tcPr>
            <w:tcW w:w="34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CA16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Datum zahájení inventury: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8416" w14:textId="77777777" w:rsidR="001E0C15" w:rsidRPr="003E348F" w:rsidRDefault="001E0C15" w:rsidP="0043162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 31.12.20</w:t>
            </w:r>
            <w:r w:rsidRPr="003E348F">
              <w:rPr>
                <w:rFonts w:ascii="Arial" w:eastAsia="Times New Roman" w:hAnsi="Arial" w:cs="Arial"/>
                <w:color w:val="000000"/>
                <w:szCs w:val="20"/>
                <w:highlight w:val="yellow"/>
                <w:lang w:eastAsia="cs-CZ"/>
              </w:rPr>
              <w:t>XX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0E84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C595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24343C" w14:paraId="661DA1AC" w14:textId="77777777" w:rsidTr="00431629">
        <w:trPr>
          <w:trHeight w:val="114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D624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0FE0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D452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46B9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07A4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EFA7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24343C" w14:paraId="6BF8689F" w14:textId="77777777" w:rsidTr="00431629">
        <w:trPr>
          <w:trHeight w:val="114"/>
        </w:trPr>
        <w:tc>
          <w:tcPr>
            <w:tcW w:w="34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32AE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Datum ukončení inventury: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05F7" w14:textId="77777777" w:rsidR="001E0C15" w:rsidRPr="003E348F" w:rsidRDefault="001E0C15" w:rsidP="0043162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 </w:t>
            </w:r>
            <w:r w:rsidRPr="003E348F">
              <w:rPr>
                <w:rFonts w:ascii="Arial" w:eastAsia="Times New Roman" w:hAnsi="Arial" w:cs="Arial"/>
                <w:color w:val="000000"/>
                <w:szCs w:val="20"/>
                <w:highlight w:val="yellow"/>
                <w:lang w:eastAsia="cs-CZ"/>
              </w:rPr>
              <w:t>XX.XX.20XX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BCE3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F003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24343C" w14:paraId="4BAE13AD" w14:textId="77777777" w:rsidTr="00431629">
        <w:trPr>
          <w:trHeight w:val="114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8B2E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4173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952C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7BE6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E1E7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08FF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24343C" w14:paraId="54BCDCF9" w14:textId="77777777" w:rsidTr="00431629">
        <w:trPr>
          <w:trHeight w:val="114"/>
        </w:trPr>
        <w:tc>
          <w:tcPr>
            <w:tcW w:w="909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A30B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Seznam inventurních evidencí (příloh inventurního soupisu):</w:t>
            </w:r>
          </w:p>
        </w:tc>
      </w:tr>
      <w:tr w:rsidR="001E0C15" w:rsidRPr="0024343C" w14:paraId="0AA6A340" w14:textId="77777777" w:rsidTr="00431629">
        <w:trPr>
          <w:trHeight w:val="114"/>
        </w:trPr>
        <w:tc>
          <w:tcPr>
            <w:tcW w:w="909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1F96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celkový přehled o výsledcích fyzické inventury příkazových bloků za přestupky za rok 20</w:t>
            </w:r>
            <w:r w:rsidRPr="003E348F">
              <w:rPr>
                <w:rFonts w:ascii="Arial" w:eastAsia="Times New Roman" w:hAnsi="Arial" w:cs="Arial"/>
                <w:color w:val="000000"/>
                <w:szCs w:val="20"/>
                <w:highlight w:val="yellow"/>
                <w:lang w:eastAsia="cs-CZ"/>
              </w:rPr>
              <w:t>XX</w:t>
            </w:r>
          </w:p>
        </w:tc>
      </w:tr>
      <w:tr w:rsidR="001E0C15" w:rsidRPr="0024343C" w14:paraId="7EB3B975" w14:textId="77777777" w:rsidTr="00431629">
        <w:trPr>
          <w:trHeight w:val="114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7524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A3F8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3C48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722C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B790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BDEA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24343C" w14:paraId="4B0376AB" w14:textId="77777777" w:rsidTr="00431629">
        <w:trPr>
          <w:trHeight w:val="114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BCA8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5C50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3664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5F31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8B82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B040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24343C" w14:paraId="7A555FF9" w14:textId="77777777" w:rsidTr="00431629">
        <w:trPr>
          <w:trHeight w:val="114"/>
        </w:trPr>
        <w:tc>
          <w:tcPr>
            <w:tcW w:w="20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5BC8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Komentář: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E372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5372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1DC0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005B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24343C" w14:paraId="5FDBA9F4" w14:textId="77777777" w:rsidTr="00431629">
        <w:trPr>
          <w:trHeight w:val="114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C726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C1A9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6DD3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140B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9C0D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5F16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24343C" w14:paraId="6D79E3B9" w14:textId="77777777" w:rsidTr="00431629">
        <w:trPr>
          <w:trHeight w:val="120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E31D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9179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A2CE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7621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99CA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D75D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24343C" w14:paraId="7CD9F08B" w14:textId="77777777" w:rsidTr="00431629">
        <w:trPr>
          <w:trHeight w:val="146"/>
        </w:trPr>
        <w:tc>
          <w:tcPr>
            <w:tcW w:w="52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22158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Inventarizační komise</w:t>
            </w:r>
          </w:p>
        </w:tc>
        <w:tc>
          <w:tcPr>
            <w:tcW w:w="2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6637F6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C7DB01B" w14:textId="77777777" w:rsidR="001E0C15" w:rsidRPr="009C3C8A" w:rsidRDefault="001E0C15" w:rsidP="0043162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  <w:r w:rsidRPr="009C3C8A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podpis</w:t>
            </w:r>
          </w:p>
        </w:tc>
      </w:tr>
      <w:tr w:rsidR="001E0C15" w:rsidRPr="009C3C8A" w14:paraId="60BC39C7" w14:textId="77777777" w:rsidTr="00431629">
        <w:trPr>
          <w:trHeight w:val="219"/>
        </w:trPr>
        <w:tc>
          <w:tcPr>
            <w:tcW w:w="52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EE04B3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předseda  - osoba odpovědná za provedení inventarizace</w:t>
            </w:r>
          </w:p>
          <w:p w14:paraId="793718C5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E4449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highlight w:val="yellow"/>
                <w:lang w:eastAsia="cs-CZ"/>
              </w:rPr>
              <w:t>XXXXX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4E9524" w14:textId="77777777" w:rsidR="001E0C15" w:rsidRPr="009C3C8A" w:rsidRDefault="001E0C15" w:rsidP="0043162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  <w:r w:rsidRPr="0024343C">
              <w:rPr>
                <w:rFonts w:ascii="Times New Roman" w:eastAsia="Times New Roman" w:hAnsi="Times New Roman"/>
                <w:color w:val="000000"/>
                <w:szCs w:val="20"/>
                <w:highlight w:val="yellow"/>
                <w:lang w:eastAsia="cs-CZ"/>
              </w:rPr>
              <w:t>XXXXX</w:t>
            </w:r>
          </w:p>
        </w:tc>
      </w:tr>
      <w:tr w:rsidR="001E0C15" w:rsidRPr="0024343C" w14:paraId="2B984E30" w14:textId="77777777" w:rsidTr="00431629">
        <w:trPr>
          <w:trHeight w:val="219"/>
        </w:trPr>
        <w:tc>
          <w:tcPr>
            <w:tcW w:w="522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6DDF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člen - osoba odpovědná za zjištění skutečného stavu</w:t>
            </w:r>
          </w:p>
          <w:p w14:paraId="41E0D10A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03BFB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highlight w:val="yellow"/>
                <w:lang w:eastAsia="cs-CZ"/>
              </w:rPr>
              <w:t>XXXXX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C9F3BC" w14:textId="77777777" w:rsidR="001E0C15" w:rsidRPr="009C3C8A" w:rsidRDefault="001E0C15" w:rsidP="0043162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  <w:r w:rsidRPr="0024343C">
              <w:rPr>
                <w:rFonts w:ascii="Times New Roman" w:eastAsia="Times New Roman" w:hAnsi="Times New Roman"/>
                <w:color w:val="000000"/>
                <w:szCs w:val="20"/>
                <w:highlight w:val="yellow"/>
                <w:lang w:eastAsia="cs-CZ"/>
              </w:rPr>
              <w:t>XXXXX</w:t>
            </w:r>
          </w:p>
        </w:tc>
      </w:tr>
      <w:tr w:rsidR="001E0C15" w:rsidRPr="0024343C" w14:paraId="5862BB19" w14:textId="77777777" w:rsidTr="00431629">
        <w:trPr>
          <w:trHeight w:val="114"/>
        </w:trPr>
        <w:tc>
          <w:tcPr>
            <w:tcW w:w="5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4794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člen - osoba odpovědná za zjištění skutečného stavu</w:t>
            </w:r>
          </w:p>
          <w:p w14:paraId="4552BED3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F7820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highlight w:val="yellow"/>
                <w:lang w:eastAsia="cs-CZ"/>
              </w:rPr>
              <w:t>XXXXX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2470" w14:textId="77777777" w:rsidR="001E0C15" w:rsidRPr="009C3C8A" w:rsidRDefault="001E0C15" w:rsidP="00431629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  <w:r w:rsidRPr="0024343C">
              <w:rPr>
                <w:rFonts w:ascii="Times New Roman" w:eastAsia="Times New Roman" w:hAnsi="Times New Roman"/>
                <w:color w:val="000000"/>
                <w:szCs w:val="20"/>
                <w:highlight w:val="yellow"/>
                <w:lang w:eastAsia="cs-CZ"/>
              </w:rPr>
              <w:t>XXXXX</w:t>
            </w:r>
          </w:p>
        </w:tc>
      </w:tr>
      <w:tr w:rsidR="001E0C15" w:rsidRPr="0024343C" w14:paraId="45EA0547" w14:textId="77777777" w:rsidTr="00431629">
        <w:trPr>
          <w:trHeight w:val="219"/>
        </w:trPr>
        <w:tc>
          <w:tcPr>
            <w:tcW w:w="3077" w:type="dxa"/>
            <w:gridSpan w:val="7"/>
            <w:tcBorders>
              <w:top w:val="single" w:sz="4" w:space="0" w:color="auto"/>
              <w:left w:val="nil"/>
            </w:tcBorders>
            <w:noWrap/>
            <w:vAlign w:val="bottom"/>
          </w:tcPr>
          <w:p w14:paraId="5EB082D3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97C334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highlight w:val="yellow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3D28609B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10EF56C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24343C" w14:paraId="08C68296" w14:textId="77777777" w:rsidTr="00431629">
        <w:trPr>
          <w:trHeight w:val="219"/>
        </w:trPr>
        <w:tc>
          <w:tcPr>
            <w:tcW w:w="3077" w:type="dxa"/>
            <w:gridSpan w:val="7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54DA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Osoba vyhotovující inventurní soupis: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03CA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highlight w:val="yellow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highlight w:val="yellow"/>
                <w:lang w:eastAsia="cs-CZ"/>
              </w:rPr>
              <w:t>XXXXX</w:t>
            </w:r>
          </w:p>
        </w:tc>
        <w:tc>
          <w:tcPr>
            <w:tcW w:w="2145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38FE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podpis: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5598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  <w:r w:rsidRPr="009C3C8A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 </w:t>
            </w:r>
          </w:p>
        </w:tc>
      </w:tr>
      <w:tr w:rsidR="001E0C15" w:rsidRPr="0024343C" w14:paraId="50493419" w14:textId="77777777" w:rsidTr="00431629">
        <w:trPr>
          <w:trHeight w:val="109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6A37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A2E3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AF51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6988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353C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2CCB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  <w:tr w:rsidR="001E0C15" w:rsidRPr="0024343C" w14:paraId="152A428E" w14:textId="77777777" w:rsidTr="00431629">
        <w:trPr>
          <w:trHeight w:val="109"/>
        </w:trPr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8072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  <w:t>Datum: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5554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4F08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C5BE" w14:textId="77777777" w:rsidR="001E0C15" w:rsidRPr="003E348F" w:rsidRDefault="001E0C15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  <w:r w:rsidRPr="003E348F">
              <w:rPr>
                <w:rFonts w:ascii="Arial" w:eastAsia="Times New Roman" w:hAnsi="Arial" w:cs="Arial"/>
                <w:color w:val="000000"/>
                <w:szCs w:val="20"/>
                <w:highlight w:val="yellow"/>
                <w:lang w:eastAsia="cs-CZ"/>
              </w:rPr>
              <w:t>XX.XX.20XX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C9B6" w14:textId="77777777" w:rsidR="001E0C15" w:rsidRPr="003E348F" w:rsidRDefault="001E0C15" w:rsidP="00431629">
            <w:pPr>
              <w:spacing w:after="0"/>
              <w:rPr>
                <w:rFonts w:ascii="Arial" w:eastAsia="Times New Roman" w:hAnsi="Arial" w:cs="Arial"/>
                <w:color w:val="000000"/>
                <w:szCs w:val="20"/>
                <w:lang w:eastAsia="cs-CZ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3418" w14:textId="77777777" w:rsidR="001E0C15" w:rsidRPr="009C3C8A" w:rsidRDefault="001E0C15" w:rsidP="00431629">
            <w:pPr>
              <w:spacing w:after="0"/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</w:pPr>
          </w:p>
        </w:tc>
      </w:tr>
    </w:tbl>
    <w:p w14:paraId="11480027" w14:textId="77777777" w:rsidR="001E0C15" w:rsidRDefault="001E0C15" w:rsidP="000E24D8"/>
    <w:p w14:paraId="123AA559" w14:textId="77777777" w:rsidR="006976AC" w:rsidRDefault="006976AC" w:rsidP="000E24D8"/>
    <w:p w14:paraId="6EE5FE40" w14:textId="77777777" w:rsidR="006976AC" w:rsidRDefault="006976AC" w:rsidP="000E24D8"/>
    <w:p w14:paraId="738D7C4A" w14:textId="1210E4BD" w:rsidR="008C2BFB" w:rsidRPr="00C826BA" w:rsidRDefault="008C2BFB" w:rsidP="008C2BFB">
      <w:pPr>
        <w:spacing w:after="0"/>
        <w:rPr>
          <w:rFonts w:ascii="Arial" w:hAnsi="Arial" w:cs="Arial"/>
          <w:i/>
        </w:rPr>
      </w:pPr>
      <w:r w:rsidRPr="00C826BA">
        <w:rPr>
          <w:rFonts w:ascii="Arial" w:hAnsi="Arial" w:cs="Arial"/>
          <w:i/>
        </w:rPr>
        <w:lastRenderedPageBreak/>
        <w:t xml:space="preserve">Příloha </w:t>
      </w:r>
      <w:r>
        <w:rPr>
          <w:rFonts w:ascii="Arial" w:hAnsi="Arial" w:cs="Arial"/>
          <w:i/>
        </w:rPr>
        <w:t>C</w:t>
      </w:r>
      <w:r w:rsidRPr="00C826BA">
        <w:rPr>
          <w:rFonts w:ascii="Arial" w:hAnsi="Arial" w:cs="Arial"/>
          <w:i/>
        </w:rPr>
        <w:t xml:space="preserve"> – </w:t>
      </w:r>
      <w:r>
        <w:rPr>
          <w:rFonts w:ascii="Arial" w:hAnsi="Arial" w:cs="Arial"/>
          <w:i/>
        </w:rPr>
        <w:t>celkový přehled</w:t>
      </w:r>
    </w:p>
    <w:p w14:paraId="0857E2ED" w14:textId="77777777" w:rsidR="006976AC" w:rsidRDefault="006976AC" w:rsidP="000E24D8"/>
    <w:p w14:paraId="2EA95360" w14:textId="77777777" w:rsidR="006976AC" w:rsidRDefault="006976AC" w:rsidP="000E24D8"/>
    <w:tbl>
      <w:tblPr>
        <w:tblW w:w="132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4"/>
        <w:gridCol w:w="3118"/>
        <w:gridCol w:w="2977"/>
        <w:gridCol w:w="185"/>
        <w:gridCol w:w="878"/>
        <w:gridCol w:w="1473"/>
        <w:gridCol w:w="1528"/>
      </w:tblGrid>
      <w:tr w:rsidR="006976AC" w:rsidRPr="000F0E46" w14:paraId="0C460DAC" w14:textId="77777777" w:rsidTr="0050347A">
        <w:trPr>
          <w:gridAfter w:val="2"/>
          <w:wAfter w:w="3001" w:type="dxa"/>
          <w:trHeight w:val="257"/>
        </w:trPr>
        <w:tc>
          <w:tcPr>
            <w:tcW w:w="102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42F9" w14:textId="77777777" w:rsidR="006976AC" w:rsidRPr="00664D31" w:rsidRDefault="006976AC" w:rsidP="004316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4D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CELKOVÝ PŘEHLED</w:t>
            </w:r>
          </w:p>
        </w:tc>
      </w:tr>
      <w:tr w:rsidR="006976AC" w:rsidRPr="000F0E46" w14:paraId="3B563D91" w14:textId="77777777" w:rsidTr="0050347A">
        <w:trPr>
          <w:gridAfter w:val="2"/>
          <w:wAfter w:w="3001" w:type="dxa"/>
          <w:trHeight w:val="257"/>
        </w:trPr>
        <w:tc>
          <w:tcPr>
            <w:tcW w:w="102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3056" w14:textId="77777777" w:rsidR="006976AC" w:rsidRPr="00664D31" w:rsidRDefault="006976AC" w:rsidP="004316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4D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 výsledcích provedené fyzické inventury příkazových bloků na pokuty za přestupky</w:t>
            </w:r>
          </w:p>
        </w:tc>
      </w:tr>
      <w:tr w:rsidR="006976AC" w:rsidRPr="000F0E46" w14:paraId="5BF7532D" w14:textId="77777777" w:rsidTr="0050347A">
        <w:trPr>
          <w:gridAfter w:val="2"/>
          <w:wAfter w:w="3001" w:type="dxa"/>
          <w:trHeight w:val="257"/>
        </w:trPr>
        <w:tc>
          <w:tcPr>
            <w:tcW w:w="102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B3EC" w14:textId="77777777" w:rsidR="006976AC" w:rsidRPr="00664D31" w:rsidRDefault="006976AC" w:rsidP="004316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4D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za rok 20</w:t>
            </w:r>
            <w:r w:rsidRPr="00664D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cs-CZ"/>
              </w:rPr>
              <w:t>XX</w:t>
            </w:r>
          </w:p>
        </w:tc>
      </w:tr>
      <w:tr w:rsidR="006976AC" w:rsidRPr="000F0E46" w14:paraId="1E07EEA1" w14:textId="77777777" w:rsidTr="0050347A">
        <w:trPr>
          <w:trHeight w:val="257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DBA9" w14:textId="77777777" w:rsidR="006976AC" w:rsidRPr="00664D31" w:rsidRDefault="006976AC" w:rsidP="004316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B4F8" w14:textId="77777777" w:rsidR="006976AC" w:rsidRPr="00664D31" w:rsidRDefault="006976AC" w:rsidP="004316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4804" w14:textId="77777777" w:rsidR="006976AC" w:rsidRPr="00664D31" w:rsidRDefault="006976AC" w:rsidP="004316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8497" w14:textId="77777777" w:rsidR="006976AC" w:rsidRPr="00664D31" w:rsidRDefault="006976AC" w:rsidP="004316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651B" w14:textId="77777777" w:rsidR="006976AC" w:rsidRPr="00664D31" w:rsidRDefault="006976AC" w:rsidP="004316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84E3" w14:textId="77777777" w:rsidR="006976AC" w:rsidRPr="000F0E46" w:rsidRDefault="006976AC" w:rsidP="004316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6976AC" w:rsidRPr="000F0E46" w14:paraId="72697CA8" w14:textId="77777777" w:rsidTr="0050347A">
        <w:trPr>
          <w:gridAfter w:val="2"/>
          <w:wAfter w:w="3001" w:type="dxa"/>
          <w:trHeight w:val="257"/>
        </w:trPr>
        <w:tc>
          <w:tcPr>
            <w:tcW w:w="102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5B33" w14:textId="77777777" w:rsidR="006976AC" w:rsidRPr="00664D31" w:rsidRDefault="006976AC" w:rsidP="004316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64D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Konečný zůstatek ke dni </w:t>
            </w:r>
            <w:r w:rsidRPr="00664D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cs-CZ"/>
              </w:rPr>
              <w:t>31.12.20XX</w:t>
            </w:r>
          </w:p>
        </w:tc>
      </w:tr>
      <w:tr w:rsidR="006976AC" w:rsidRPr="000F0E46" w14:paraId="71F7692B" w14:textId="77777777" w:rsidTr="0050347A">
        <w:trPr>
          <w:trHeight w:val="24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1DA9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B422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7118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590B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E518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AB5A" w14:textId="77777777" w:rsidR="006976AC" w:rsidRPr="000F0E46" w:rsidRDefault="006976AC" w:rsidP="00431629">
            <w:pPr>
              <w:spacing w:after="0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50347A" w:rsidRPr="000F0E46" w14:paraId="2D4DE73D" w14:textId="77777777" w:rsidTr="0050347A">
        <w:trPr>
          <w:gridAfter w:val="4"/>
          <w:wAfter w:w="4064" w:type="dxa"/>
          <w:trHeight w:val="24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B8A8FC8" w14:textId="77777777" w:rsidR="0050347A" w:rsidRPr="000F0E46" w:rsidRDefault="0050347A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F0E46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BABA8E" w14:textId="77777777" w:rsidR="0050347A" w:rsidRPr="000F0E46" w:rsidRDefault="0050347A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F0E46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EAD082" w14:textId="77777777" w:rsidR="0050347A" w:rsidRPr="000F0E46" w:rsidRDefault="0050347A" w:rsidP="00431629">
            <w:pPr>
              <w:spacing w:after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0F0E46"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</w:tr>
      <w:tr w:rsidR="0050347A" w:rsidRPr="00664D31" w14:paraId="5D4DAD71" w14:textId="77777777" w:rsidTr="0050347A">
        <w:trPr>
          <w:gridAfter w:val="4"/>
          <w:wAfter w:w="4064" w:type="dxa"/>
          <w:trHeight w:val="95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0ACEB19" w14:textId="77777777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Příkazové bloky na pokuty na místě nezaplacené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4C3F30D" w14:textId="77777777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Příkazové bloky na pokuty na místě zaplacené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1BAFB75" w14:textId="77777777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Úhrnem</w:t>
            </w:r>
          </w:p>
        </w:tc>
      </w:tr>
      <w:tr w:rsidR="0050347A" w:rsidRPr="00664D31" w14:paraId="2C900816" w14:textId="77777777" w:rsidTr="0050347A">
        <w:trPr>
          <w:gridAfter w:val="4"/>
          <w:wAfter w:w="4064" w:type="dxa"/>
          <w:trHeight w:val="831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2C47297" w14:textId="34519F9D" w:rsidR="0050347A" w:rsidRDefault="0050347A" w:rsidP="007D06C1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</w:p>
          <w:p w14:paraId="08039E26" w14:textId="4D537DC9" w:rsidR="0050347A" w:rsidRPr="000741E3" w:rsidRDefault="0050347A" w:rsidP="007D06C1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>46 6400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16AD9FE" w14:textId="3A65078D" w:rsidR="0050347A" w:rsidRDefault="0050347A" w:rsidP="000741E3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</w:p>
          <w:p w14:paraId="0DD6BFF8" w14:textId="497FC532" w:rsidR="0050347A" w:rsidRPr="000741E3" w:rsidRDefault="0050347A" w:rsidP="000741E3">
            <w:pPr>
              <w:spacing w:after="0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>46 6401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4AC4" w14:textId="77777777" w:rsidR="0050347A" w:rsidRPr="00664D31" w:rsidRDefault="0050347A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50347A" w:rsidRPr="00664D31" w14:paraId="5EC6F752" w14:textId="77777777" w:rsidTr="0050347A">
        <w:trPr>
          <w:gridAfter w:val="4"/>
          <w:wAfter w:w="4064" w:type="dxa"/>
          <w:trHeight w:val="245"/>
        </w:trPr>
        <w:tc>
          <w:tcPr>
            <w:tcW w:w="6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F6B9FB" w14:textId="556DEBF4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Počet svazků pokutových bloků (celý blok)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1784" w14:textId="77777777" w:rsidR="0050347A" w:rsidRPr="00664D31" w:rsidRDefault="0050347A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50347A" w:rsidRPr="00664D31" w14:paraId="094D3FAD" w14:textId="77777777" w:rsidTr="0050347A">
        <w:trPr>
          <w:gridAfter w:val="4"/>
          <w:wAfter w:w="4064" w:type="dxa"/>
          <w:trHeight w:val="298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F2DD" w14:textId="77777777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B53E" w14:textId="77777777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664D31"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  <w:t>XX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DCCC" w14:textId="77777777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  <w:t>XX</w:t>
            </w:r>
          </w:p>
        </w:tc>
      </w:tr>
      <w:tr w:rsidR="0050347A" w:rsidRPr="00664D31" w14:paraId="66B65D9F" w14:textId="77777777" w:rsidTr="0050347A">
        <w:trPr>
          <w:gridAfter w:val="4"/>
          <w:wAfter w:w="4064" w:type="dxa"/>
          <w:trHeight w:val="24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80D9" w14:textId="77777777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č. od - 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FD18" w14:textId="77777777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č. od - do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2D22" w14:textId="77777777" w:rsidR="0050347A" w:rsidRPr="00664D31" w:rsidRDefault="0050347A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0347A" w:rsidRPr="00664D31" w14:paraId="15BD62AB" w14:textId="77777777" w:rsidTr="0050347A">
        <w:trPr>
          <w:gridAfter w:val="4"/>
          <w:wAfter w:w="4064" w:type="dxa"/>
          <w:trHeight w:val="278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88BB" w14:textId="77777777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6453" w14:textId="77777777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664D31"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  <w:t>XX - XX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18EE" w14:textId="77777777" w:rsidR="0050347A" w:rsidRPr="00664D31" w:rsidRDefault="0050347A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0347A" w:rsidRPr="00664D31" w14:paraId="303091B1" w14:textId="77777777" w:rsidTr="0050347A">
        <w:trPr>
          <w:gridAfter w:val="4"/>
          <w:wAfter w:w="4064" w:type="dxa"/>
          <w:trHeight w:val="245"/>
        </w:trPr>
        <w:tc>
          <w:tcPr>
            <w:tcW w:w="6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BFD8798" w14:textId="72E44E60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Počet kusů pokutových bloků  (jednotlivé listy)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05962CF" w14:textId="77777777" w:rsidR="0050347A" w:rsidRPr="00664D31" w:rsidRDefault="0050347A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0347A" w:rsidRPr="00664D31" w14:paraId="59696D13" w14:textId="77777777" w:rsidTr="0050347A">
        <w:trPr>
          <w:gridAfter w:val="4"/>
          <w:wAfter w:w="4064" w:type="dxa"/>
          <w:trHeight w:val="60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FBC1" w14:textId="77777777" w:rsidR="0050347A" w:rsidRPr="00664D31" w:rsidRDefault="0050347A" w:rsidP="0043162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40DC1" w14:textId="77777777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bCs/>
                <w:color w:val="000000"/>
                <w:highlight w:val="yellow"/>
                <w:lang w:eastAsia="cs-CZ"/>
              </w:rPr>
              <w:t>XX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3ED0A" w14:textId="77777777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  <w:t>XX</w:t>
            </w:r>
          </w:p>
        </w:tc>
      </w:tr>
      <w:tr w:rsidR="0050347A" w:rsidRPr="00664D31" w14:paraId="3B0145DE" w14:textId="77777777" w:rsidTr="0050347A">
        <w:trPr>
          <w:gridAfter w:val="4"/>
          <w:wAfter w:w="4064" w:type="dxa"/>
          <w:trHeight w:val="257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66F1" w14:textId="77777777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č. od - 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FAC1" w14:textId="77777777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č. od - do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7AF1" w14:textId="77777777" w:rsidR="0050347A" w:rsidRPr="00664D31" w:rsidRDefault="0050347A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50347A" w:rsidRPr="00664D31" w14:paraId="04D04F3A" w14:textId="77777777" w:rsidTr="0050347A">
        <w:trPr>
          <w:gridAfter w:val="4"/>
          <w:wAfter w:w="4064" w:type="dxa"/>
          <w:trHeight w:val="318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23914" w14:textId="77777777" w:rsidR="0050347A" w:rsidRPr="00664D31" w:rsidRDefault="0050347A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48F88" w14:textId="77777777" w:rsidR="0050347A" w:rsidRPr="00664D31" w:rsidRDefault="0050347A" w:rsidP="0043162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  <w:t>XX - XX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92BC1" w14:textId="77777777" w:rsidR="0050347A" w:rsidRPr="00664D31" w:rsidRDefault="0050347A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976AC" w:rsidRPr="00664D31" w14:paraId="146DDDB9" w14:textId="77777777" w:rsidTr="0050347A">
        <w:trPr>
          <w:trHeight w:val="24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1BD1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0029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F991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ECE4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D006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7747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976AC" w:rsidRPr="00664D31" w14:paraId="62A3C255" w14:textId="77777777" w:rsidTr="0050347A">
        <w:trPr>
          <w:trHeight w:val="245"/>
        </w:trPr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D0A8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Přehled sestavil: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9DB1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4EE9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4903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E869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976AC" w:rsidRPr="00664D31" w14:paraId="2B49E674" w14:textId="77777777" w:rsidTr="0050347A">
        <w:trPr>
          <w:trHeight w:val="24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2DF1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4214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3E56" w14:textId="77777777" w:rsidR="0050347A" w:rsidRDefault="0050347A" w:rsidP="0050347A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Podpis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16E42078" w14:textId="77777777" w:rsidR="0050347A" w:rsidRDefault="0050347A" w:rsidP="0050347A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odpovědného </w:t>
            </w:r>
          </w:p>
          <w:p w14:paraId="48BE4A0D" w14:textId="77777777" w:rsidR="0050347A" w:rsidRDefault="0050347A" w:rsidP="0050347A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referenta </w:t>
            </w:r>
          </w:p>
          <w:p w14:paraId="4E81D6B3" w14:textId="472B9FE0" w:rsidR="006976AC" w:rsidRPr="00664D31" w:rsidRDefault="0050347A" w:rsidP="0050347A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OŽPaPP</w:t>
            </w: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7E45" w14:textId="77777777" w:rsidR="0050347A" w:rsidRPr="00664D31" w:rsidRDefault="0050347A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16D4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7CDD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976AC" w:rsidRPr="00664D31" w14:paraId="49EE3235" w14:textId="77777777" w:rsidTr="0050347A">
        <w:trPr>
          <w:trHeight w:val="24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C482" w14:textId="40D46143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 xml:space="preserve">V </w:t>
            </w:r>
            <w:r w:rsidR="000741E3">
              <w:rPr>
                <w:rFonts w:ascii="Arial" w:eastAsia="Times New Roman" w:hAnsi="Arial" w:cs="Arial"/>
                <w:color w:val="000000"/>
                <w:lang w:eastAsia="cs-CZ"/>
              </w:rPr>
              <w:t>Humpolci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58F1" w14:textId="5CFA9703" w:rsidR="0050347A" w:rsidRPr="00664D31" w:rsidRDefault="006976AC" w:rsidP="0050347A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 xml:space="preserve">datum: </w:t>
            </w:r>
            <w:r w:rsidRPr="00664D31"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  <w:t>XX.XX.20XX</w:t>
            </w:r>
            <w:r w:rsidR="0050347A" w:rsidRPr="00664D31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16F19D4D" w14:textId="6F6DEE39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3FEE" w14:textId="14FBA055" w:rsidR="006976AC" w:rsidRPr="00664D31" w:rsidRDefault="006976AC" w:rsidP="00431629">
            <w:pPr>
              <w:spacing w:after="0"/>
              <w:ind w:left="-7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66B4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C7AE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976AC" w:rsidRPr="00664D31" w14:paraId="2A801979" w14:textId="77777777" w:rsidTr="0050347A">
        <w:trPr>
          <w:trHeight w:val="24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E67B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E49C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0C0A" w14:textId="5517BDCF" w:rsidR="006976AC" w:rsidRPr="00664D31" w:rsidRDefault="0050347A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64D31">
              <w:rPr>
                <w:rFonts w:ascii="Arial" w:eastAsia="Times New Roman" w:hAnsi="Arial" w:cs="Arial"/>
                <w:color w:val="000000"/>
                <w:lang w:eastAsia="cs-CZ"/>
              </w:rPr>
              <w:t>Podpis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vedoucího odboru: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AD88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0257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8577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6976AC" w:rsidRPr="00664D31" w14:paraId="40D185B1" w14:textId="77777777" w:rsidTr="0050347A">
        <w:trPr>
          <w:gridAfter w:val="2"/>
          <w:wAfter w:w="3001" w:type="dxa"/>
          <w:trHeight w:val="245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F886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DDAF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5478" w14:textId="77777777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6DE3" w14:textId="74AABCBE" w:rsidR="006976AC" w:rsidRPr="00664D31" w:rsidRDefault="006976AC" w:rsidP="00431629">
            <w:pPr>
              <w:spacing w:after="0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4102A42D" w14:textId="77777777" w:rsidR="006976AC" w:rsidRPr="00664D31" w:rsidRDefault="006976AC" w:rsidP="000E24D8">
      <w:pPr>
        <w:rPr>
          <w:rFonts w:ascii="Arial" w:hAnsi="Arial" w:cs="Arial"/>
        </w:rPr>
      </w:pPr>
    </w:p>
    <w:sectPr w:rsidR="006976AC" w:rsidRPr="00664D31" w:rsidSect="001E0C15">
      <w:pgSz w:w="11906" w:h="16838" w:code="9"/>
      <w:pgMar w:top="2495" w:right="1361" w:bottom="3714" w:left="1134" w:header="1038" w:footer="9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17C5" w14:textId="77777777" w:rsidR="00B97291" w:rsidRDefault="00B97291" w:rsidP="006A4E7B">
      <w:r>
        <w:separator/>
      </w:r>
    </w:p>
  </w:endnote>
  <w:endnote w:type="continuationSeparator" w:id="0">
    <w:p w14:paraId="37A98348" w14:textId="77777777" w:rsidR="00B97291" w:rsidRDefault="00B97291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003535"/>
      <w:docPartObj>
        <w:docPartGallery w:val="Page Numbers (Bottom of Page)"/>
        <w:docPartUnique/>
      </w:docPartObj>
    </w:sdtPr>
    <w:sdtContent>
      <w:p w14:paraId="135B1329" w14:textId="64A5D043" w:rsidR="0074218E" w:rsidRDefault="007421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CF9C4A" w14:textId="2B73C50B" w:rsidR="00F5263F" w:rsidRPr="00320C90" w:rsidRDefault="00F5263F" w:rsidP="00F526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5CF241CC" w14:textId="77777777" w:rsidTr="007A1C29">
      <w:tc>
        <w:tcPr>
          <w:tcW w:w="1928" w:type="dxa"/>
        </w:tcPr>
        <w:p w14:paraId="58515332" w14:textId="77777777" w:rsidR="007A1C29" w:rsidRDefault="007A1C29" w:rsidP="007A1C29">
          <w:pPr>
            <w:pStyle w:val="Zpat"/>
          </w:pPr>
          <w:r>
            <w:t>Město Humpolec</w:t>
          </w:r>
        </w:p>
        <w:p w14:paraId="42F18A51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47542782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027C7727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7BF3CD3C" w14:textId="77777777" w:rsidR="007A1C29" w:rsidRDefault="007A1C29" w:rsidP="007A1C29">
          <w:pPr>
            <w:pStyle w:val="Zpat"/>
          </w:pPr>
          <w:r>
            <w:t>č. ú.: 19-1421261/0100</w:t>
          </w:r>
        </w:p>
        <w:p w14:paraId="53156E3C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7832D2E1" w14:textId="77777777" w:rsidR="007A1C29" w:rsidRDefault="007A1C29" w:rsidP="007A1C29">
          <w:pPr>
            <w:pStyle w:val="Zpat"/>
          </w:pPr>
          <w:r>
            <w:t>TEL: 565 518 111</w:t>
          </w:r>
        </w:p>
        <w:p w14:paraId="50D0EED5" w14:textId="77777777" w:rsidR="007A1C29" w:rsidRDefault="007A1C29" w:rsidP="007A1C29">
          <w:pPr>
            <w:pStyle w:val="Zpat"/>
          </w:pPr>
          <w:r>
            <w:t>FAX: 565 518 199</w:t>
          </w:r>
        </w:p>
        <w:p w14:paraId="7A674D33" w14:textId="77777777" w:rsidR="007A1C29" w:rsidRDefault="007A1C29" w:rsidP="007A1C29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680985FA" w14:textId="77777777" w:rsidR="007A1C29" w:rsidRDefault="007A1C29" w:rsidP="007A1C29">
          <w:pPr>
            <w:pStyle w:val="Zpat"/>
          </w:pPr>
          <w:r>
            <w:t>IČ: 002 48 266</w:t>
          </w:r>
        </w:p>
        <w:p w14:paraId="5065A9C0" w14:textId="77777777" w:rsidR="007A1C29" w:rsidRDefault="007A1C29" w:rsidP="007A1C29">
          <w:pPr>
            <w:pStyle w:val="Zpat"/>
          </w:pPr>
          <w:r>
            <w:t>DIČ: CZ00248266</w:t>
          </w:r>
        </w:p>
        <w:p w14:paraId="672E1419" w14:textId="77777777" w:rsidR="007A1C29" w:rsidRDefault="007A1C29" w:rsidP="007A1C29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6DC5EBC1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54D32485" w14:textId="77777777" w:rsidR="007A1C29" w:rsidRDefault="00F5263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28088F6" wp14:editId="281339CF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A1232D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049D7805" wp14:editId="281205AD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C82D44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9633C" w14:textId="77777777" w:rsidR="00B97291" w:rsidRDefault="00B97291" w:rsidP="006A4E7B">
      <w:bookmarkStart w:id="0" w:name="_Hlk485237819"/>
      <w:bookmarkEnd w:id="0"/>
      <w:r>
        <w:separator/>
      </w:r>
    </w:p>
  </w:footnote>
  <w:footnote w:type="continuationSeparator" w:id="0">
    <w:p w14:paraId="17B669BA" w14:textId="77777777" w:rsidR="00B97291" w:rsidRDefault="00B97291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26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</w:tblGrid>
    <w:tr w:rsidR="009C55CD" w14:paraId="55C97792" w14:textId="77777777" w:rsidTr="001E0C15">
      <w:trPr>
        <w:trHeight w:val="917"/>
      </w:trPr>
      <w:tc>
        <w:tcPr>
          <w:tcW w:w="2516" w:type="dxa"/>
          <w:tcMar>
            <w:left w:w="0" w:type="dxa"/>
            <w:right w:w="0" w:type="dxa"/>
          </w:tcMar>
        </w:tcPr>
        <w:p w14:paraId="34665B4D" w14:textId="5528E9D9" w:rsidR="003F6ECF" w:rsidRDefault="003F6ECF" w:rsidP="003F6ECF">
          <w:pPr>
            <w:pStyle w:val="Zhlav"/>
            <w:rPr>
              <w:sz w:val="16"/>
              <w:szCs w:val="16"/>
            </w:rPr>
          </w:pPr>
        </w:p>
      </w:tc>
    </w:tr>
  </w:tbl>
  <w:p w14:paraId="2CFCEF06" w14:textId="77777777" w:rsidR="00F075FD" w:rsidRPr="00F075FD" w:rsidRDefault="00632181" w:rsidP="003F6ECF">
    <w:pPr>
      <w:pStyle w:val="Zhlav"/>
      <w:rPr>
        <w:sz w:val="16"/>
        <w:szCs w:val="16"/>
      </w:rPr>
    </w:pPr>
    <w:r w:rsidRPr="00F075FD">
      <w:rPr>
        <w:noProof/>
        <w:sz w:val="16"/>
        <w:szCs w:val="16"/>
        <w14:ligatures w14:val="none"/>
      </w:rPr>
      <w:drawing>
        <wp:anchor distT="0" distB="0" distL="114300" distR="114300" simplePos="0" relativeHeight="251727872" behindDoc="1" locked="0" layoutInCell="1" allowOverlap="1" wp14:anchorId="506EBDF7" wp14:editId="255C696E">
          <wp:simplePos x="0" y="0"/>
          <wp:positionH relativeFrom="page">
            <wp:posOffset>745299</wp:posOffset>
          </wp:positionH>
          <wp:positionV relativeFrom="page">
            <wp:posOffset>663879</wp:posOffset>
          </wp:positionV>
          <wp:extent cx="1114473" cy="467360"/>
          <wp:effectExtent l="0" t="0" r="0" b="2540"/>
          <wp:wrapNone/>
          <wp:docPr id="700273366" name="Logo TS black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53" cy="46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6A8634" w14:textId="77777777" w:rsidR="00F075FD" w:rsidRPr="00705533" w:rsidRDefault="00F075FD" w:rsidP="00F075FD">
    <w:pPr>
      <w:pStyle w:val="Zhlav"/>
      <w:spacing w:line="25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B86F" w14:textId="77777777" w:rsidR="006B181C" w:rsidRDefault="006B181C" w:rsidP="006B181C">
    <w:pPr>
      <w:pStyle w:val="Zhlav"/>
      <w:spacing w:line="250" w:lineRule="atLeast"/>
    </w:pPr>
    <w:r>
      <w:rPr>
        <w:noProof/>
        <w14:ligatures w14:val="none"/>
      </w:rPr>
      <w:drawing>
        <wp:anchor distT="0" distB="0" distL="114300" distR="114300" simplePos="0" relativeHeight="251700224" behindDoc="1" locked="0" layoutInCell="1" allowOverlap="1" wp14:anchorId="7556619D" wp14:editId="0DEBACCA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1557975632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3B013897" w14:textId="77777777" w:rsidR="006B181C" w:rsidRDefault="006B181C" w:rsidP="006B181C">
    <w:pPr>
      <w:pStyle w:val="Zhlav"/>
      <w:spacing w:line="250" w:lineRule="atLeast"/>
    </w:pPr>
    <w:r>
      <w:t>Odbor tajemníka MěÚ</w:t>
    </w:r>
  </w:p>
  <w:p w14:paraId="38E4D086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25507276" wp14:editId="1A43F1BC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5D2D54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3B9D7D1C" wp14:editId="23D55D69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B3950C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4B6D4E80" wp14:editId="3B6957AC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C51DB0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552CC9" wp14:editId="05A409EB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E807E6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011D2942" wp14:editId="56C474E2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DE02D2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9C4ECE0" wp14:editId="22C02C76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8B36C8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176719A" wp14:editId="77F0E667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C7D86E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FC3E5DE" wp14:editId="49565794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EA812A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06AB231" wp14:editId="6842CB14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571F54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575B0D4" wp14:editId="6F0DAACD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D967E7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7A5E68FD" wp14:editId="12EEAF1E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F20B23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69C0D974" wp14:editId="266322E4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A346D4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3D206C16" w14:textId="77777777" w:rsidR="00B44ADF" w:rsidRDefault="006B181C" w:rsidP="006B181C">
    <w:pPr>
      <w:pStyle w:val="Zhlav"/>
      <w:spacing w:after="1020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43E3FF2" wp14:editId="23280CD2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3A20F5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03674859"/>
    <w:multiLevelType w:val="multilevel"/>
    <w:tmpl w:val="A9E4F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BB31260"/>
    <w:multiLevelType w:val="hybridMultilevel"/>
    <w:tmpl w:val="ABDEF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7B6C"/>
    <w:multiLevelType w:val="hybridMultilevel"/>
    <w:tmpl w:val="277E6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70833"/>
    <w:multiLevelType w:val="hybridMultilevel"/>
    <w:tmpl w:val="3AEAA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80F75"/>
    <w:multiLevelType w:val="hybridMultilevel"/>
    <w:tmpl w:val="751E70EC"/>
    <w:lvl w:ilvl="0" w:tplc="5810EBAA">
      <w:start w:val="1"/>
      <w:numFmt w:val="lowerLetter"/>
      <w:lvlText w:val="%1)"/>
      <w:lvlJc w:val="left"/>
      <w:pPr>
        <w:ind w:left="1117" w:hanging="360"/>
      </w:pPr>
      <w:rPr>
        <w:rFonts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EE97607"/>
    <w:multiLevelType w:val="hybridMultilevel"/>
    <w:tmpl w:val="FD2AB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D4A3C"/>
    <w:multiLevelType w:val="hybridMultilevel"/>
    <w:tmpl w:val="50CE3E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86307"/>
    <w:multiLevelType w:val="hybridMultilevel"/>
    <w:tmpl w:val="722ED1C2"/>
    <w:lvl w:ilvl="0" w:tplc="93407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EE76C4"/>
    <w:multiLevelType w:val="hybridMultilevel"/>
    <w:tmpl w:val="7D187ED2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D3690"/>
    <w:multiLevelType w:val="hybridMultilevel"/>
    <w:tmpl w:val="993C07E4"/>
    <w:lvl w:ilvl="0" w:tplc="73261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880068"/>
    <w:multiLevelType w:val="hybridMultilevel"/>
    <w:tmpl w:val="8578E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F5CE1"/>
    <w:multiLevelType w:val="hybridMultilevel"/>
    <w:tmpl w:val="C3E8419E"/>
    <w:lvl w:ilvl="0" w:tplc="6BFE6E66">
      <w:start w:val="3"/>
      <w:numFmt w:val="decimal"/>
      <w:lvlText w:val="%1)"/>
      <w:lvlJc w:val="left"/>
      <w:pPr>
        <w:ind w:left="1080" w:hanging="360"/>
      </w:pPr>
      <w:rPr>
        <w:rFonts w:ascii="Arial" w:eastAsia="Calibri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271811">
    <w:abstractNumId w:val="4"/>
  </w:num>
  <w:num w:numId="2" w16cid:durableId="1711026024">
    <w:abstractNumId w:val="18"/>
  </w:num>
  <w:num w:numId="3" w16cid:durableId="513112012">
    <w:abstractNumId w:val="8"/>
  </w:num>
  <w:num w:numId="4" w16cid:durableId="516580647">
    <w:abstractNumId w:val="7"/>
  </w:num>
  <w:num w:numId="5" w16cid:durableId="505365728">
    <w:abstractNumId w:val="7"/>
  </w:num>
  <w:num w:numId="6" w16cid:durableId="594095062">
    <w:abstractNumId w:val="7"/>
  </w:num>
  <w:num w:numId="7" w16cid:durableId="1768385138">
    <w:abstractNumId w:val="0"/>
  </w:num>
  <w:num w:numId="8" w16cid:durableId="776212630">
    <w:abstractNumId w:val="0"/>
    <w:lvlOverride w:ilvl="0">
      <w:startOverride w:val="1"/>
    </w:lvlOverride>
  </w:num>
  <w:num w:numId="9" w16cid:durableId="1721132577">
    <w:abstractNumId w:val="0"/>
    <w:lvlOverride w:ilvl="0">
      <w:startOverride w:val="1"/>
    </w:lvlOverride>
  </w:num>
  <w:num w:numId="10" w16cid:durableId="73553563">
    <w:abstractNumId w:val="0"/>
    <w:lvlOverride w:ilvl="0">
      <w:startOverride w:val="1"/>
    </w:lvlOverride>
  </w:num>
  <w:num w:numId="11" w16cid:durableId="1051542317">
    <w:abstractNumId w:val="0"/>
    <w:lvlOverride w:ilvl="0">
      <w:startOverride w:val="1"/>
    </w:lvlOverride>
  </w:num>
  <w:num w:numId="12" w16cid:durableId="612830722">
    <w:abstractNumId w:val="0"/>
  </w:num>
  <w:num w:numId="13" w16cid:durableId="170606457">
    <w:abstractNumId w:val="5"/>
  </w:num>
  <w:num w:numId="14" w16cid:durableId="238634589">
    <w:abstractNumId w:val="6"/>
  </w:num>
  <w:num w:numId="15" w16cid:durableId="1206016840">
    <w:abstractNumId w:val="14"/>
  </w:num>
  <w:num w:numId="16" w16cid:durableId="1172262554">
    <w:abstractNumId w:val="11"/>
  </w:num>
  <w:num w:numId="17" w16cid:durableId="535700753">
    <w:abstractNumId w:val="15"/>
  </w:num>
  <w:num w:numId="18" w16cid:durableId="724988329">
    <w:abstractNumId w:val="17"/>
  </w:num>
  <w:num w:numId="19" w16cid:durableId="786393556">
    <w:abstractNumId w:val="3"/>
  </w:num>
  <w:num w:numId="20" w16cid:durableId="1918205320">
    <w:abstractNumId w:val="12"/>
  </w:num>
  <w:num w:numId="21" w16cid:durableId="1928609003">
    <w:abstractNumId w:val="13"/>
  </w:num>
  <w:num w:numId="22" w16cid:durableId="1184710936">
    <w:abstractNumId w:val="16"/>
  </w:num>
  <w:num w:numId="23" w16cid:durableId="233901643">
    <w:abstractNumId w:val="10"/>
  </w:num>
  <w:num w:numId="24" w16cid:durableId="1809738755">
    <w:abstractNumId w:val="1"/>
  </w:num>
  <w:num w:numId="25" w16cid:durableId="1484811045">
    <w:abstractNumId w:val="2"/>
  </w:num>
  <w:num w:numId="26" w16cid:durableId="122618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BE"/>
    <w:rsid w:val="000075D0"/>
    <w:rsid w:val="00013404"/>
    <w:rsid w:val="000154B9"/>
    <w:rsid w:val="00016C9E"/>
    <w:rsid w:val="000246B8"/>
    <w:rsid w:val="00026F5C"/>
    <w:rsid w:val="000275DB"/>
    <w:rsid w:val="0002763C"/>
    <w:rsid w:val="00030B42"/>
    <w:rsid w:val="000310FC"/>
    <w:rsid w:val="000354EA"/>
    <w:rsid w:val="0003606E"/>
    <w:rsid w:val="000363D8"/>
    <w:rsid w:val="00037BF0"/>
    <w:rsid w:val="00044BB9"/>
    <w:rsid w:val="00060922"/>
    <w:rsid w:val="00063127"/>
    <w:rsid w:val="00065359"/>
    <w:rsid w:val="0006542F"/>
    <w:rsid w:val="0006594C"/>
    <w:rsid w:val="00072D8E"/>
    <w:rsid w:val="000741E3"/>
    <w:rsid w:val="000837CF"/>
    <w:rsid w:val="00083F9C"/>
    <w:rsid w:val="0009307D"/>
    <w:rsid w:val="000931DC"/>
    <w:rsid w:val="000945D6"/>
    <w:rsid w:val="00096553"/>
    <w:rsid w:val="000A076F"/>
    <w:rsid w:val="000B2900"/>
    <w:rsid w:val="000B2EA0"/>
    <w:rsid w:val="000B3204"/>
    <w:rsid w:val="000B4008"/>
    <w:rsid w:val="000B460D"/>
    <w:rsid w:val="000C1969"/>
    <w:rsid w:val="000E246A"/>
    <w:rsid w:val="000E24D8"/>
    <w:rsid w:val="000F104D"/>
    <w:rsid w:val="000F78D8"/>
    <w:rsid w:val="00116230"/>
    <w:rsid w:val="00116764"/>
    <w:rsid w:val="00121C88"/>
    <w:rsid w:val="001225E7"/>
    <w:rsid w:val="00123A4D"/>
    <w:rsid w:val="00124BDE"/>
    <w:rsid w:val="00125F2F"/>
    <w:rsid w:val="00127695"/>
    <w:rsid w:val="00127D6A"/>
    <w:rsid w:val="0013583A"/>
    <w:rsid w:val="001377BD"/>
    <w:rsid w:val="0013791C"/>
    <w:rsid w:val="0014134A"/>
    <w:rsid w:val="001416D1"/>
    <w:rsid w:val="00171559"/>
    <w:rsid w:val="00174382"/>
    <w:rsid w:val="00180A92"/>
    <w:rsid w:val="00182CA1"/>
    <w:rsid w:val="00184ABE"/>
    <w:rsid w:val="00187903"/>
    <w:rsid w:val="00197BC2"/>
    <w:rsid w:val="001A2B27"/>
    <w:rsid w:val="001B4F3F"/>
    <w:rsid w:val="001B71B1"/>
    <w:rsid w:val="001C74EB"/>
    <w:rsid w:val="001D09BF"/>
    <w:rsid w:val="001D6D50"/>
    <w:rsid w:val="001E0C15"/>
    <w:rsid w:val="001E2D7D"/>
    <w:rsid w:val="001E7071"/>
    <w:rsid w:val="001F7BB8"/>
    <w:rsid w:val="002006E6"/>
    <w:rsid w:val="0020390B"/>
    <w:rsid w:val="00204A10"/>
    <w:rsid w:val="00211009"/>
    <w:rsid w:val="00222CBE"/>
    <w:rsid w:val="00226A27"/>
    <w:rsid w:val="00226E02"/>
    <w:rsid w:val="00231928"/>
    <w:rsid w:val="00234204"/>
    <w:rsid w:val="002360A7"/>
    <w:rsid w:val="00240D8C"/>
    <w:rsid w:val="002479D6"/>
    <w:rsid w:val="002653B9"/>
    <w:rsid w:val="00265AD1"/>
    <w:rsid w:val="002660F3"/>
    <w:rsid w:val="0027095A"/>
    <w:rsid w:val="0027329E"/>
    <w:rsid w:val="002742BF"/>
    <w:rsid w:val="00284DEC"/>
    <w:rsid w:val="002867C0"/>
    <w:rsid w:val="002908FF"/>
    <w:rsid w:val="00297CFC"/>
    <w:rsid w:val="002A058B"/>
    <w:rsid w:val="002A19AD"/>
    <w:rsid w:val="002A3B19"/>
    <w:rsid w:val="002B3A17"/>
    <w:rsid w:val="002B54F6"/>
    <w:rsid w:val="002C210D"/>
    <w:rsid w:val="002C408E"/>
    <w:rsid w:val="002D0DD2"/>
    <w:rsid w:val="002D3824"/>
    <w:rsid w:val="002D41CA"/>
    <w:rsid w:val="002D6326"/>
    <w:rsid w:val="002D66B2"/>
    <w:rsid w:val="002D77AA"/>
    <w:rsid w:val="002E0D3A"/>
    <w:rsid w:val="002F68D4"/>
    <w:rsid w:val="00315342"/>
    <w:rsid w:val="00317A23"/>
    <w:rsid w:val="00320C90"/>
    <w:rsid w:val="00321C60"/>
    <w:rsid w:val="00324879"/>
    <w:rsid w:val="003361F2"/>
    <w:rsid w:val="00341CE9"/>
    <w:rsid w:val="00344582"/>
    <w:rsid w:val="00347EFB"/>
    <w:rsid w:val="00351E46"/>
    <w:rsid w:val="00355B32"/>
    <w:rsid w:val="0037530F"/>
    <w:rsid w:val="00380076"/>
    <w:rsid w:val="0038220B"/>
    <w:rsid w:val="0038339F"/>
    <w:rsid w:val="00387082"/>
    <w:rsid w:val="00390E54"/>
    <w:rsid w:val="003A18C8"/>
    <w:rsid w:val="003A2C1C"/>
    <w:rsid w:val="003A36B8"/>
    <w:rsid w:val="003A6C16"/>
    <w:rsid w:val="003C11E5"/>
    <w:rsid w:val="003C3635"/>
    <w:rsid w:val="003C3D0E"/>
    <w:rsid w:val="003C6218"/>
    <w:rsid w:val="003E0DFC"/>
    <w:rsid w:val="003E0E55"/>
    <w:rsid w:val="003E2A00"/>
    <w:rsid w:val="003E348F"/>
    <w:rsid w:val="003F403C"/>
    <w:rsid w:val="003F6C3A"/>
    <w:rsid w:val="003F6ECF"/>
    <w:rsid w:val="00404F14"/>
    <w:rsid w:val="00413229"/>
    <w:rsid w:val="004136B2"/>
    <w:rsid w:val="00425725"/>
    <w:rsid w:val="00425C6A"/>
    <w:rsid w:val="00430D06"/>
    <w:rsid w:val="00431DC8"/>
    <w:rsid w:val="004333DE"/>
    <w:rsid w:val="00442E33"/>
    <w:rsid w:val="00450E9F"/>
    <w:rsid w:val="0047346F"/>
    <w:rsid w:val="00487128"/>
    <w:rsid w:val="00487B44"/>
    <w:rsid w:val="00490319"/>
    <w:rsid w:val="004A7E6E"/>
    <w:rsid w:val="004C4831"/>
    <w:rsid w:val="004E0F69"/>
    <w:rsid w:val="004E4EF8"/>
    <w:rsid w:val="005005E0"/>
    <w:rsid w:val="00500CC5"/>
    <w:rsid w:val="005018D6"/>
    <w:rsid w:val="0050347A"/>
    <w:rsid w:val="00503A97"/>
    <w:rsid w:val="0050508E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4B78"/>
    <w:rsid w:val="00547A4A"/>
    <w:rsid w:val="0055091A"/>
    <w:rsid w:val="005509B2"/>
    <w:rsid w:val="00553C99"/>
    <w:rsid w:val="00556CBB"/>
    <w:rsid w:val="005653C1"/>
    <w:rsid w:val="00567889"/>
    <w:rsid w:val="005803F4"/>
    <w:rsid w:val="00583203"/>
    <w:rsid w:val="0058749F"/>
    <w:rsid w:val="00590A92"/>
    <w:rsid w:val="00591D86"/>
    <w:rsid w:val="00596AB7"/>
    <w:rsid w:val="005A32AB"/>
    <w:rsid w:val="005A4F91"/>
    <w:rsid w:val="005C60A4"/>
    <w:rsid w:val="005D0BA9"/>
    <w:rsid w:val="005D6879"/>
    <w:rsid w:val="005E01DE"/>
    <w:rsid w:val="005E516C"/>
    <w:rsid w:val="005F0BB2"/>
    <w:rsid w:val="005F5EA8"/>
    <w:rsid w:val="006015AD"/>
    <w:rsid w:val="00606D02"/>
    <w:rsid w:val="006130CA"/>
    <w:rsid w:val="00613E55"/>
    <w:rsid w:val="00615DF6"/>
    <w:rsid w:val="00625306"/>
    <w:rsid w:val="00630C42"/>
    <w:rsid w:val="00632181"/>
    <w:rsid w:val="00634848"/>
    <w:rsid w:val="00663219"/>
    <w:rsid w:val="00664D31"/>
    <w:rsid w:val="00666CC9"/>
    <w:rsid w:val="00670E9A"/>
    <w:rsid w:val="00675142"/>
    <w:rsid w:val="006756F4"/>
    <w:rsid w:val="006817AE"/>
    <w:rsid w:val="00682E83"/>
    <w:rsid w:val="006859B5"/>
    <w:rsid w:val="006976AC"/>
    <w:rsid w:val="006A0C58"/>
    <w:rsid w:val="006A0E0A"/>
    <w:rsid w:val="006A4E7B"/>
    <w:rsid w:val="006B181C"/>
    <w:rsid w:val="006C57AB"/>
    <w:rsid w:val="006D4A8E"/>
    <w:rsid w:val="006D4C72"/>
    <w:rsid w:val="006D6B59"/>
    <w:rsid w:val="006E07A9"/>
    <w:rsid w:val="006F0DEA"/>
    <w:rsid w:val="00705533"/>
    <w:rsid w:val="007071F6"/>
    <w:rsid w:val="007157DF"/>
    <w:rsid w:val="00720C71"/>
    <w:rsid w:val="007218A1"/>
    <w:rsid w:val="00721F0C"/>
    <w:rsid w:val="00722664"/>
    <w:rsid w:val="00722AEC"/>
    <w:rsid w:val="00725386"/>
    <w:rsid w:val="00726A53"/>
    <w:rsid w:val="0073367B"/>
    <w:rsid w:val="00733F6C"/>
    <w:rsid w:val="00735377"/>
    <w:rsid w:val="0074218E"/>
    <w:rsid w:val="00743F40"/>
    <w:rsid w:val="007548D5"/>
    <w:rsid w:val="00756A51"/>
    <w:rsid w:val="00762948"/>
    <w:rsid w:val="00763948"/>
    <w:rsid w:val="00763ADC"/>
    <w:rsid w:val="00764FC0"/>
    <w:rsid w:val="00764FDB"/>
    <w:rsid w:val="00765686"/>
    <w:rsid w:val="00772DBF"/>
    <w:rsid w:val="007868A6"/>
    <w:rsid w:val="007917CF"/>
    <w:rsid w:val="00793286"/>
    <w:rsid w:val="007A1C29"/>
    <w:rsid w:val="007A28E6"/>
    <w:rsid w:val="007A49E5"/>
    <w:rsid w:val="007A7F21"/>
    <w:rsid w:val="007C009D"/>
    <w:rsid w:val="007C16BD"/>
    <w:rsid w:val="007C2095"/>
    <w:rsid w:val="007C4ED9"/>
    <w:rsid w:val="007C71BD"/>
    <w:rsid w:val="007D06C1"/>
    <w:rsid w:val="007D18C8"/>
    <w:rsid w:val="007E43E4"/>
    <w:rsid w:val="007E507E"/>
    <w:rsid w:val="007F31AC"/>
    <w:rsid w:val="007F5D9C"/>
    <w:rsid w:val="00800BBA"/>
    <w:rsid w:val="008029C7"/>
    <w:rsid w:val="00812A6F"/>
    <w:rsid w:val="008135C3"/>
    <w:rsid w:val="008212BF"/>
    <w:rsid w:val="008214B9"/>
    <w:rsid w:val="0082663A"/>
    <w:rsid w:val="00841A91"/>
    <w:rsid w:val="00842930"/>
    <w:rsid w:val="00845FAA"/>
    <w:rsid w:val="00855C74"/>
    <w:rsid w:val="00860CBD"/>
    <w:rsid w:val="00863B9A"/>
    <w:rsid w:val="00875CF8"/>
    <w:rsid w:val="00882C03"/>
    <w:rsid w:val="0088681E"/>
    <w:rsid w:val="00890741"/>
    <w:rsid w:val="008B08E7"/>
    <w:rsid w:val="008B0C57"/>
    <w:rsid w:val="008B6BCA"/>
    <w:rsid w:val="008C2BFB"/>
    <w:rsid w:val="008D1416"/>
    <w:rsid w:val="008D7C11"/>
    <w:rsid w:val="008E023B"/>
    <w:rsid w:val="008E1D7F"/>
    <w:rsid w:val="008E2D2D"/>
    <w:rsid w:val="008F5F85"/>
    <w:rsid w:val="008F75F1"/>
    <w:rsid w:val="009128DA"/>
    <w:rsid w:val="00912E0D"/>
    <w:rsid w:val="0092051D"/>
    <w:rsid w:val="00921838"/>
    <w:rsid w:val="00924D92"/>
    <w:rsid w:val="00926445"/>
    <w:rsid w:val="009267B0"/>
    <w:rsid w:val="009334AB"/>
    <w:rsid w:val="00933E45"/>
    <w:rsid w:val="009371D1"/>
    <w:rsid w:val="0094298A"/>
    <w:rsid w:val="00944384"/>
    <w:rsid w:val="00967021"/>
    <w:rsid w:val="0097488B"/>
    <w:rsid w:val="009A49E4"/>
    <w:rsid w:val="009B318B"/>
    <w:rsid w:val="009B4D29"/>
    <w:rsid w:val="009C55CD"/>
    <w:rsid w:val="009C7C2F"/>
    <w:rsid w:val="009D2C7C"/>
    <w:rsid w:val="009E5776"/>
    <w:rsid w:val="009E6761"/>
    <w:rsid w:val="009F0F81"/>
    <w:rsid w:val="009F3FE0"/>
    <w:rsid w:val="00A17DA3"/>
    <w:rsid w:val="00A2071E"/>
    <w:rsid w:val="00A229CD"/>
    <w:rsid w:val="00A34B36"/>
    <w:rsid w:val="00A34D0A"/>
    <w:rsid w:val="00A41233"/>
    <w:rsid w:val="00A43FEB"/>
    <w:rsid w:val="00A456FC"/>
    <w:rsid w:val="00A5084A"/>
    <w:rsid w:val="00A50C14"/>
    <w:rsid w:val="00A51903"/>
    <w:rsid w:val="00A53243"/>
    <w:rsid w:val="00A559E4"/>
    <w:rsid w:val="00A86A22"/>
    <w:rsid w:val="00A93975"/>
    <w:rsid w:val="00A93EFC"/>
    <w:rsid w:val="00A95DCD"/>
    <w:rsid w:val="00AA684A"/>
    <w:rsid w:val="00AA7859"/>
    <w:rsid w:val="00AB3FA2"/>
    <w:rsid w:val="00AC129C"/>
    <w:rsid w:val="00AC4DD4"/>
    <w:rsid w:val="00AD0326"/>
    <w:rsid w:val="00AD503D"/>
    <w:rsid w:val="00AE065A"/>
    <w:rsid w:val="00AE70D4"/>
    <w:rsid w:val="00AF48BF"/>
    <w:rsid w:val="00B0228A"/>
    <w:rsid w:val="00B11C15"/>
    <w:rsid w:val="00B17317"/>
    <w:rsid w:val="00B21C17"/>
    <w:rsid w:val="00B22A9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64D43"/>
    <w:rsid w:val="00B727D5"/>
    <w:rsid w:val="00B7282E"/>
    <w:rsid w:val="00B75F5F"/>
    <w:rsid w:val="00B83F96"/>
    <w:rsid w:val="00B97291"/>
    <w:rsid w:val="00BA2CE9"/>
    <w:rsid w:val="00BA38D5"/>
    <w:rsid w:val="00BA4D0A"/>
    <w:rsid w:val="00BB45C1"/>
    <w:rsid w:val="00BC4BE6"/>
    <w:rsid w:val="00BD3EC8"/>
    <w:rsid w:val="00BE7EDE"/>
    <w:rsid w:val="00BF6346"/>
    <w:rsid w:val="00C03325"/>
    <w:rsid w:val="00C078AF"/>
    <w:rsid w:val="00C10DC2"/>
    <w:rsid w:val="00C16757"/>
    <w:rsid w:val="00C17BA7"/>
    <w:rsid w:val="00C201FC"/>
    <w:rsid w:val="00C32473"/>
    <w:rsid w:val="00C426C1"/>
    <w:rsid w:val="00C438F0"/>
    <w:rsid w:val="00C44F53"/>
    <w:rsid w:val="00C7022D"/>
    <w:rsid w:val="00C80578"/>
    <w:rsid w:val="00C84E4C"/>
    <w:rsid w:val="00C87073"/>
    <w:rsid w:val="00C975BC"/>
    <w:rsid w:val="00CC1C8E"/>
    <w:rsid w:val="00CD1FEA"/>
    <w:rsid w:val="00CD6093"/>
    <w:rsid w:val="00CE239E"/>
    <w:rsid w:val="00CE5A75"/>
    <w:rsid w:val="00CE6B4F"/>
    <w:rsid w:val="00CF3B46"/>
    <w:rsid w:val="00CF40F1"/>
    <w:rsid w:val="00CF5B47"/>
    <w:rsid w:val="00D06A6B"/>
    <w:rsid w:val="00D16DBE"/>
    <w:rsid w:val="00D27583"/>
    <w:rsid w:val="00D303F9"/>
    <w:rsid w:val="00D32D2C"/>
    <w:rsid w:val="00D42164"/>
    <w:rsid w:val="00D442EA"/>
    <w:rsid w:val="00D4605C"/>
    <w:rsid w:val="00D5319E"/>
    <w:rsid w:val="00D54CEF"/>
    <w:rsid w:val="00D5563C"/>
    <w:rsid w:val="00D57F98"/>
    <w:rsid w:val="00D63E74"/>
    <w:rsid w:val="00D6607C"/>
    <w:rsid w:val="00D72000"/>
    <w:rsid w:val="00D725B1"/>
    <w:rsid w:val="00D8159D"/>
    <w:rsid w:val="00D92E40"/>
    <w:rsid w:val="00D94A47"/>
    <w:rsid w:val="00D953B5"/>
    <w:rsid w:val="00D95E3B"/>
    <w:rsid w:val="00DC329C"/>
    <w:rsid w:val="00DD49F0"/>
    <w:rsid w:val="00DD703A"/>
    <w:rsid w:val="00DD75B3"/>
    <w:rsid w:val="00DE7E1A"/>
    <w:rsid w:val="00E0094F"/>
    <w:rsid w:val="00E03503"/>
    <w:rsid w:val="00E13382"/>
    <w:rsid w:val="00E148CE"/>
    <w:rsid w:val="00E260FD"/>
    <w:rsid w:val="00E35728"/>
    <w:rsid w:val="00E4733B"/>
    <w:rsid w:val="00E50985"/>
    <w:rsid w:val="00E51F60"/>
    <w:rsid w:val="00E52329"/>
    <w:rsid w:val="00E55E33"/>
    <w:rsid w:val="00E61D4E"/>
    <w:rsid w:val="00E64D95"/>
    <w:rsid w:val="00E72165"/>
    <w:rsid w:val="00E779A6"/>
    <w:rsid w:val="00E77C68"/>
    <w:rsid w:val="00E85C3C"/>
    <w:rsid w:val="00E90ED4"/>
    <w:rsid w:val="00E96311"/>
    <w:rsid w:val="00EC1529"/>
    <w:rsid w:val="00EC1D7D"/>
    <w:rsid w:val="00EC57E6"/>
    <w:rsid w:val="00EE4E24"/>
    <w:rsid w:val="00EE7FD7"/>
    <w:rsid w:val="00EF04F8"/>
    <w:rsid w:val="00F045DA"/>
    <w:rsid w:val="00F05F92"/>
    <w:rsid w:val="00F075FD"/>
    <w:rsid w:val="00F222F6"/>
    <w:rsid w:val="00F25FE5"/>
    <w:rsid w:val="00F2757A"/>
    <w:rsid w:val="00F32E42"/>
    <w:rsid w:val="00F41A9F"/>
    <w:rsid w:val="00F46882"/>
    <w:rsid w:val="00F518B7"/>
    <w:rsid w:val="00F5263F"/>
    <w:rsid w:val="00F52A0B"/>
    <w:rsid w:val="00F54FEC"/>
    <w:rsid w:val="00F969A3"/>
    <w:rsid w:val="00FA0324"/>
    <w:rsid w:val="00FA5E5B"/>
    <w:rsid w:val="00FB23A4"/>
    <w:rsid w:val="00FB60F3"/>
    <w:rsid w:val="00FB66E1"/>
    <w:rsid w:val="00FB7689"/>
    <w:rsid w:val="00FB7FE2"/>
    <w:rsid w:val="00FC01F6"/>
    <w:rsid w:val="00FC199B"/>
    <w:rsid w:val="00FD058D"/>
    <w:rsid w:val="00FD192D"/>
    <w:rsid w:val="00FD649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DF9E0"/>
  <w15:docId w15:val="{F980F1E7-0FE0-4E72-8BBA-85BFD77B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styleId="Odstavecseseznamem">
    <w:name w:val="List Paragraph"/>
    <w:basedOn w:val="Normln"/>
    <w:uiPriority w:val="34"/>
    <w:rsid w:val="002D66B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253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530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5306"/>
    <w:rPr>
      <w:color w:val="000000" w:themeColor="text1"/>
      <w:kern w:val="12"/>
      <w:sz w:val="20"/>
      <w:szCs w:val="20"/>
      <w14:ligatures w14:val="standar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53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5306"/>
    <w:rPr>
      <w:b/>
      <w:bCs/>
      <w:color w:val="000000" w:themeColor="text1"/>
      <w:kern w:val="1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za.hlavnickova\Downloads\Sm&#283;rnice_pokutov&#233;%20bloky_ryb&#225;&#345;stv&#237;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76B7-3DA1-46E9-AD13-BF95C968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Směrnice_pokutové bloky_rybářství</Template>
  <TotalTime>3</TotalTime>
  <Pages>8</Pages>
  <Words>2059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Hlavničková</dc:creator>
  <cp:keywords/>
  <cp:lastModifiedBy>Iveta Jarošová</cp:lastModifiedBy>
  <cp:revision>3</cp:revision>
  <cp:lastPrinted>2026-02-10T06:07:00Z</cp:lastPrinted>
  <dcterms:created xsi:type="dcterms:W3CDTF">2026-03-12T08:24:00Z</dcterms:created>
  <dcterms:modified xsi:type="dcterms:W3CDTF">2026-03-12T08:28:00Z</dcterms:modified>
</cp:coreProperties>
</file>