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A60" w:rsidRDefault="002B5A60" w:rsidP="002B5A60">
      <w:pPr>
        <w:ind w:left="1985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ind w:left="1985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ind w:left="1985"/>
        <w:jc w:val="both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Příloha SOD č. 1</w:t>
      </w:r>
      <w:r>
        <w:rPr>
          <w:rFonts w:ascii="Arial" w:hAnsi="Arial" w:cs="Arial"/>
          <w:sz w:val="24"/>
          <w:szCs w:val="24"/>
          <w:u w:val="single"/>
        </w:rPr>
        <w:t xml:space="preserve">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Sazebník smluvních pokut při nedodržení pravidel BOZP 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spacing w:before="120" w:line="240" w:lineRule="auto"/>
        <w:ind w:left="924" w:right="709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pStyle w:val="Zkladntext"/>
        <w:widowControl/>
        <w:numPr>
          <w:ilvl w:val="0"/>
          <w:numId w:val="1"/>
        </w:numPr>
        <w:autoSpaceDE w:val="0"/>
        <w:autoSpaceDN w:val="0"/>
        <w:snapToGrid/>
        <w:spacing w:beforeLines="40" w:before="96"/>
        <w:ind w:right="1274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Zhotovitel je povinen spolupracovat s určeným koordinátorem BOZP. Při provádění díla bude dodržovat předpisy o bezpečnosti a ochraně zdraví při práci, hygienické a požární předpisy. </w:t>
      </w:r>
    </w:p>
    <w:p w:rsidR="002B5A60" w:rsidRDefault="002B5A60" w:rsidP="002B5A60">
      <w:pPr>
        <w:pStyle w:val="Zkladntext"/>
        <w:widowControl/>
        <w:numPr>
          <w:ilvl w:val="0"/>
          <w:numId w:val="1"/>
        </w:numPr>
        <w:autoSpaceDE w:val="0"/>
        <w:autoSpaceDN w:val="0"/>
        <w:snapToGrid/>
        <w:spacing w:beforeLines="40" w:before="96"/>
        <w:ind w:right="1274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Pro případ zjištění nedostatků v oblasti BOZP nebo PO, nedodržování bezpečnostních předpisů, při porušování ustanovení dokumentu „</w:t>
      </w:r>
      <w:proofErr w:type="gramStart"/>
      <w:r>
        <w:rPr>
          <w:rFonts w:eastAsia="Calibri" w:cs="Arial"/>
          <w:sz w:val="24"/>
          <w:szCs w:val="24"/>
          <w:lang w:eastAsia="en-US"/>
        </w:rPr>
        <w:t>Plánu  BOZP</w:t>
      </w:r>
      <w:proofErr w:type="gramEnd"/>
      <w:r>
        <w:rPr>
          <w:rFonts w:eastAsia="Calibri" w:cs="Arial"/>
          <w:sz w:val="24"/>
          <w:szCs w:val="24"/>
          <w:lang w:eastAsia="en-US"/>
        </w:rPr>
        <w:t>“ a některých jeho součástí si smluvní strany sjednávají sankce ve výši dle přílohy č. 1 smlouvy o dílo a to na návrh koordinátora BOZP.</w:t>
      </w:r>
    </w:p>
    <w:p w:rsidR="002B5A60" w:rsidRDefault="002B5A60" w:rsidP="002B5A60">
      <w:pPr>
        <w:pStyle w:val="Zkladntext"/>
        <w:widowControl/>
        <w:numPr>
          <w:ilvl w:val="0"/>
          <w:numId w:val="1"/>
        </w:numPr>
        <w:autoSpaceDE w:val="0"/>
        <w:autoSpaceDN w:val="0"/>
        <w:snapToGrid/>
        <w:spacing w:beforeLines="40" w:before="96"/>
        <w:ind w:right="1274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Objednatel pověřuje koordinátora BOZP k vyzvání osob na staveništi ke splnění povinnosti podrobit se vyšetření přítomnosti alkoholu nebo jiné návykové látky. Kontrola musí být prováděna za přítomnosti svědka (např. stavbyvedoucího).</w:t>
      </w:r>
    </w:p>
    <w:p w:rsidR="002B5A60" w:rsidRDefault="002B5A60" w:rsidP="002B5A60">
      <w:pPr>
        <w:pStyle w:val="Zkladntext"/>
        <w:widowControl/>
        <w:numPr>
          <w:ilvl w:val="0"/>
          <w:numId w:val="1"/>
        </w:numPr>
        <w:autoSpaceDE w:val="0"/>
        <w:autoSpaceDN w:val="0"/>
        <w:snapToGrid/>
        <w:spacing w:beforeLines="40" w:before="96"/>
        <w:ind w:right="1274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V případě, kdy zhotovitel, jeho poddodavatel nebo jiné fyzické osoby neplní požadavky zákona č. 309/2006 Sb., zákona o zajištění dalších podmínek bezpečnosti a ochrany zdraví při práci, zejména </w:t>
      </w:r>
      <w:proofErr w:type="spellStart"/>
      <w:r>
        <w:rPr>
          <w:rFonts w:eastAsia="Calibri" w:cs="Arial"/>
          <w:sz w:val="24"/>
          <w:szCs w:val="24"/>
          <w:lang w:eastAsia="en-US"/>
        </w:rPr>
        <w:t>ust</w:t>
      </w:r>
      <w:proofErr w:type="spellEnd"/>
      <w:r>
        <w:rPr>
          <w:rFonts w:eastAsia="Calibri" w:cs="Arial"/>
          <w:sz w:val="24"/>
          <w:szCs w:val="24"/>
          <w:lang w:eastAsia="en-US"/>
        </w:rPr>
        <w:t xml:space="preserve">. §§ 16, 17, a </w:t>
      </w:r>
      <w:proofErr w:type="gramStart"/>
      <w:r>
        <w:rPr>
          <w:rFonts w:eastAsia="Calibri" w:cs="Arial"/>
          <w:sz w:val="24"/>
          <w:szCs w:val="24"/>
          <w:lang w:eastAsia="en-US"/>
        </w:rPr>
        <w:t>to</w:t>
      </w:r>
      <w:proofErr w:type="gramEnd"/>
      <w:r>
        <w:rPr>
          <w:rFonts w:eastAsia="Calibri" w:cs="Arial"/>
          <w:sz w:val="24"/>
          <w:szCs w:val="24"/>
          <w:lang w:eastAsia="en-US"/>
        </w:rPr>
        <w:t xml:space="preserve"> pokud v dostatečném předstihu před zahájením stavebních prací písemně neinformují koordinátora o rizicích a o pracovních a technologických postupech, které pro realizaci stavby zvolil, o řešení rizik vznikajících při těchto postupech, včetně opatření přijatých k jejich odstranění, včas nepředávají informace a podklady pro zhotovení plánu, pověřuje investor koordinátora k pozastavení činnosti daného zhotovitele. O postupu bude informovat TDS. Toto pozastavení stavby není důvodem k prodloužení termínu ukončení stavebních prací.</w:t>
      </w:r>
    </w:p>
    <w:p w:rsidR="002B5A60" w:rsidRDefault="002B5A60" w:rsidP="002B5A60">
      <w:pPr>
        <w:widowControl w:val="0"/>
        <w:tabs>
          <w:tab w:val="left" w:pos="4536"/>
          <w:tab w:val="left" w:pos="7513"/>
        </w:tabs>
        <w:spacing w:line="240" w:lineRule="auto"/>
        <w:rPr>
          <w:rFonts w:ascii="Arial" w:eastAsia="Calibri" w:hAnsi="Arial" w:cs="Arial"/>
          <w:snapToGrid w:val="0"/>
          <w:sz w:val="24"/>
          <w:szCs w:val="24"/>
          <w:lang w:eastAsia="en-US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pokuta nemá vliv na případný nárok na náhradu škody.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pokuty budou odstupňovány: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první provinění proti BOZP – upozornění a výstraha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provinění proti BOZP pokuta s výstrahou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druhé a další provinění – výše pokuty se násobí až na maximální výši pětinásobku základní částky + vykázání pracovníka-ů (firmy) ze staveniště.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Tabulka maximálních orientačních pokut za porušení níže uvedených bodů, týkajících se prohřešků proti BOZP:</w:t>
      </w:r>
    </w:p>
    <w:p w:rsidR="002B5A60" w:rsidRDefault="002B5A60" w:rsidP="002B5A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1318"/>
      </w:tblGrid>
      <w:tr w:rsidR="002B5A60" w:rsidTr="002B5A60">
        <w:trPr>
          <w:trHeight w:val="602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SAZEBNÍK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POKUT - PROVINĚNÍ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PROTI BOZP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POKUTA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Včasné nedoložení informace o rizicích vznikajících při pracovních nebo technologických postupech, které zhotovitel zvolil, vyplývající z § 16, zákona č. 309/2006 Sb.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Zhotovitel neplní požadavky na zajištění staveniště stanovené v NV č. 591/2006 Sb.,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příloha  č.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1,  nebo v souladu s plánem BOZP.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Nepoužívání osobních ochranných prostředků vyplývajících z prováděné činnosti a stanovených v plánu BOZP. (Ochrany hlavy, pracovní obuv, ochrany očí, reflexní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vesty,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atd.) NV č. 390/2021 Sb.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500,-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Nepoužívání prostředků kolektivní ochrany, nebo osobní ochrany pro zabránění pádu osob z výšky nebo do volné hloubky. (technické konstrukce, zábradlí, ohrazení, bezpečnostní postroj, kotvící body atd.). NV č. 362/2005 Sb.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Nezajištění nebezpečného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prostoru  pod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místem práce ve výšce. NV č. 362/2005 Sb.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Používání dočasné stavební konstrukce na staveništi bez náležitého předání odborně způsobilou osobou odpovědnou za montáž a převzetí do užívání osobou odpovědnou za její užívání. Používání lešení bez zábradlí,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okopových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lišt atd. NV č. 362/2005 Sb.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Používání nevyhovujících a poškozených žebříků na staveništi (odporující nařízení vlády č. 362/2005 Sb.)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Používání poškozených nebo nevyhovujících el. zařízení, prodlužování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kabelů,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atd. (poškozená izolace kabelů, sundaný bezpečnostní kryt přístroje, el. přístroj bez příslušné revize, atd.)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Dočasná elektrická zařízení na staveništi musí splňovat normové požadavky a musí být podrobena pravidelným kontrolám a revizím ve stanovených intervalech. NV č. 591/2006 Sb. příloha č. 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Neprovádění nebo nepoužívání prostředků pro zajištění okrajů výkopů proti pádu fyzických osob do hloubky (překrytí, zábradlí, zábrany, ohrazení atd.) NV č. 591/2006 Sb. příloha č. 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Nezřízení bezpečných přechodů přes výkopy v návaznosti na hloubku výkopu. </w:t>
            </w:r>
          </w:p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(bez zábradlí, lišty pro slepce, nedostatečně široké atd.). NV č. 591/2006 Sb. příloha č. 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Neprovádění zajištění stability stěn výkopu proti sesutí u ručního 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strojně  hloubeného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výkopu.  (pažení, ochranné rámy, rozpěrné konstrukce atd.)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Pohyb pracovníků v prostoru ohroženém činností stroje,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vymezeném  maximálním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dosahem jeho pracovního zařízení, zvětšeném o 2m. NV č. 591/2006 Sb. příloha č. 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500,-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Používání k výstupu konstrukce, které k tomu nejsou určeny (bednění,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pažení,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atd.)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Používání k dopravě osob zařízení nebo části, které k tomu nejsou určeny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Vázání břemene bez potřebné kvalifikace (vazačský, jeřábnický průkaz). Používání poškozených vázacích prostředků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Zjištění požití alkoholického nápoje nebo toxické látky v těle pracovníka Okamžité opuštění staveniště a pokuta.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5.000,-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Porušení zákazu kouření (kromě vyhrazených prostor)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500,- Kč</w:t>
            </w:r>
          </w:p>
        </w:tc>
      </w:tr>
      <w:tr w:rsidR="002B5A60" w:rsidTr="002B5A60">
        <w:trPr>
          <w:trHeight w:val="725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Jiné opakující se porušení pravidel BOZP podle závažnosti.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0" w:rsidRDefault="002B5A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500,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až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5.000,-  Kč</w:t>
            </w:r>
          </w:p>
        </w:tc>
      </w:tr>
    </w:tbl>
    <w:p w:rsidR="002B5A60" w:rsidRDefault="002B5A60" w:rsidP="002B5A60">
      <w:pPr>
        <w:rPr>
          <w:rFonts w:ascii="Arial" w:hAnsi="Arial" w:cs="Arial"/>
          <w:sz w:val="24"/>
          <w:szCs w:val="24"/>
        </w:rPr>
      </w:pPr>
    </w:p>
    <w:p w:rsidR="002B5A60" w:rsidRDefault="002B5A60" w:rsidP="002B5A60"/>
    <w:p w:rsidR="006D6EFA" w:rsidRDefault="006D6EFA"/>
    <w:sectPr w:rsidR="006D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0A57"/>
    <w:multiLevelType w:val="hybridMultilevel"/>
    <w:tmpl w:val="84AE6622"/>
    <w:lvl w:ilvl="0" w:tplc="957C2D98">
      <w:start w:val="1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778061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60"/>
    <w:rsid w:val="002B5A60"/>
    <w:rsid w:val="006D6EFA"/>
    <w:rsid w:val="00B578E4"/>
    <w:rsid w:val="00C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95638-9264-4B4E-8502-D5BA6DA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A60"/>
    <w:pPr>
      <w:spacing w:after="0" w:line="260" w:lineRule="exact"/>
    </w:pPr>
    <w:rPr>
      <w:rFonts w:ascii="Trebuchet MS" w:eastAsia="Times New Roman" w:hAnsi="Trebuchet MS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B5A60"/>
    <w:pPr>
      <w:widowControl w:val="0"/>
      <w:snapToGrid w:val="0"/>
      <w:spacing w:line="240" w:lineRule="auto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B5A6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Vankat</dc:creator>
  <cp:keywords/>
  <dc:description/>
  <cp:lastModifiedBy>Jaroslav Vankat</cp:lastModifiedBy>
  <cp:revision>2</cp:revision>
  <dcterms:created xsi:type="dcterms:W3CDTF">2023-08-18T09:35:00Z</dcterms:created>
  <dcterms:modified xsi:type="dcterms:W3CDTF">2023-08-18T09:36:00Z</dcterms:modified>
</cp:coreProperties>
</file>