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5A60" w:rsidRDefault="002B5A60" w:rsidP="002B5A60">
      <w:pPr>
        <w:ind w:left="1985"/>
        <w:rPr>
          <w:rFonts w:ascii="Arial" w:hAnsi="Arial" w:cs="Arial"/>
          <w:sz w:val="24"/>
          <w:szCs w:val="24"/>
        </w:rPr>
      </w:pPr>
    </w:p>
    <w:p w:rsidR="002B5A60" w:rsidRDefault="002B5A60" w:rsidP="002B5A60">
      <w:pPr>
        <w:ind w:left="1985"/>
        <w:rPr>
          <w:rFonts w:ascii="Arial" w:hAnsi="Arial" w:cs="Arial"/>
          <w:sz w:val="24"/>
          <w:szCs w:val="24"/>
        </w:rPr>
      </w:pPr>
    </w:p>
    <w:p w:rsidR="002B5A60" w:rsidRDefault="002B5A60" w:rsidP="002B5A60">
      <w:pPr>
        <w:ind w:left="1985"/>
        <w:jc w:val="both"/>
        <w:rPr>
          <w:rFonts w:ascii="Arial" w:hAnsi="Arial" w:cs="Arial"/>
          <w:sz w:val="24"/>
          <w:szCs w:val="24"/>
        </w:rPr>
      </w:pPr>
    </w:p>
    <w:p w:rsidR="002B5A60" w:rsidRDefault="002B5A60" w:rsidP="002B5A6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Příloha SOD č. 1</w:t>
      </w:r>
      <w:r>
        <w:rPr>
          <w:rFonts w:ascii="Arial" w:hAnsi="Arial" w:cs="Arial"/>
          <w:sz w:val="24"/>
          <w:szCs w:val="24"/>
          <w:u w:val="single"/>
        </w:rPr>
        <w:t xml:space="preserve"> – </w:t>
      </w:r>
      <w:r>
        <w:rPr>
          <w:rFonts w:ascii="Arial" w:hAnsi="Arial" w:cs="Arial"/>
          <w:b/>
          <w:sz w:val="24"/>
          <w:szCs w:val="24"/>
          <w:u w:val="single"/>
        </w:rPr>
        <w:t xml:space="preserve">Sazebník smluvních pokut při nedodržení pravidel BOZP </w:t>
      </w:r>
    </w:p>
    <w:p w:rsidR="002B5A60" w:rsidRDefault="002B5A60" w:rsidP="002B5A60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2B5A60" w:rsidRDefault="002B5A60" w:rsidP="002B5A60">
      <w:pPr>
        <w:spacing w:before="120" w:line="240" w:lineRule="auto"/>
        <w:ind w:left="924" w:right="709"/>
        <w:rPr>
          <w:rFonts w:ascii="Arial" w:hAnsi="Arial" w:cs="Arial"/>
          <w:sz w:val="24"/>
          <w:szCs w:val="24"/>
        </w:rPr>
      </w:pPr>
    </w:p>
    <w:p w:rsidR="002B5A60" w:rsidRDefault="002B5A60" w:rsidP="002B5A60">
      <w:pPr>
        <w:pStyle w:val="Zkladntext"/>
        <w:widowControl/>
        <w:numPr>
          <w:ilvl w:val="0"/>
          <w:numId w:val="1"/>
        </w:numPr>
        <w:autoSpaceDE w:val="0"/>
        <w:autoSpaceDN w:val="0"/>
        <w:snapToGrid/>
        <w:spacing w:beforeLines="40" w:before="96"/>
        <w:ind w:right="1274"/>
        <w:rPr>
          <w:rFonts w:eastAsia="Calibri" w:cs="Arial"/>
          <w:sz w:val="24"/>
          <w:szCs w:val="24"/>
          <w:lang w:eastAsia="en-US"/>
        </w:rPr>
      </w:pPr>
      <w:r>
        <w:rPr>
          <w:rFonts w:eastAsia="Calibri" w:cs="Arial"/>
          <w:sz w:val="24"/>
          <w:szCs w:val="24"/>
          <w:lang w:eastAsia="en-US"/>
        </w:rPr>
        <w:t xml:space="preserve">Zhotovitel je povinen spolupracovat s určeným koordinátorem BOZP. Při provádění díla bude dodržovat předpisy o bezpečnosti a ochraně zdraví při práci, hygienické a požární předpisy. </w:t>
      </w:r>
    </w:p>
    <w:p w:rsidR="002B5A60" w:rsidRDefault="002B5A60" w:rsidP="002B5A60">
      <w:pPr>
        <w:pStyle w:val="Zkladntext"/>
        <w:widowControl/>
        <w:numPr>
          <w:ilvl w:val="0"/>
          <w:numId w:val="1"/>
        </w:numPr>
        <w:autoSpaceDE w:val="0"/>
        <w:autoSpaceDN w:val="0"/>
        <w:snapToGrid/>
        <w:spacing w:beforeLines="40" w:before="96"/>
        <w:ind w:right="1274"/>
        <w:rPr>
          <w:rFonts w:eastAsia="Calibri" w:cs="Arial"/>
          <w:sz w:val="24"/>
          <w:szCs w:val="24"/>
          <w:lang w:eastAsia="en-US"/>
        </w:rPr>
      </w:pPr>
      <w:r>
        <w:rPr>
          <w:rFonts w:eastAsia="Calibri" w:cs="Arial"/>
          <w:sz w:val="24"/>
          <w:szCs w:val="24"/>
          <w:lang w:eastAsia="en-US"/>
        </w:rPr>
        <w:t>Pro případ zjištění nedostatků v oblasti BOZP nebo PO, nedodržování bezpečnostních předpisů, při porušování ustanovení dokumentu „</w:t>
      </w:r>
      <w:proofErr w:type="gramStart"/>
      <w:r>
        <w:rPr>
          <w:rFonts w:eastAsia="Calibri" w:cs="Arial"/>
          <w:sz w:val="24"/>
          <w:szCs w:val="24"/>
          <w:lang w:eastAsia="en-US"/>
        </w:rPr>
        <w:t>Plánu  BOZP</w:t>
      </w:r>
      <w:proofErr w:type="gramEnd"/>
      <w:r>
        <w:rPr>
          <w:rFonts w:eastAsia="Calibri" w:cs="Arial"/>
          <w:sz w:val="24"/>
          <w:szCs w:val="24"/>
          <w:lang w:eastAsia="en-US"/>
        </w:rPr>
        <w:t>“ a některých jeho součástí si smluvní strany sjednávají sankce ve výši dle přílohy č. 1 smlouvy o dílo a to na návrh koordinátora BOZP.</w:t>
      </w:r>
    </w:p>
    <w:p w:rsidR="002B5A60" w:rsidRDefault="002B5A60" w:rsidP="002B5A60">
      <w:pPr>
        <w:pStyle w:val="Zkladntext"/>
        <w:widowControl/>
        <w:numPr>
          <w:ilvl w:val="0"/>
          <w:numId w:val="1"/>
        </w:numPr>
        <w:autoSpaceDE w:val="0"/>
        <w:autoSpaceDN w:val="0"/>
        <w:snapToGrid/>
        <w:spacing w:beforeLines="40" w:before="96"/>
        <w:ind w:right="1274"/>
        <w:rPr>
          <w:rFonts w:eastAsia="Calibri" w:cs="Arial"/>
          <w:sz w:val="24"/>
          <w:szCs w:val="24"/>
          <w:lang w:eastAsia="en-US"/>
        </w:rPr>
      </w:pPr>
      <w:r>
        <w:rPr>
          <w:rFonts w:eastAsia="Calibri" w:cs="Arial"/>
          <w:sz w:val="24"/>
          <w:szCs w:val="24"/>
          <w:lang w:eastAsia="en-US"/>
        </w:rPr>
        <w:t>Objednatel pověřuje koordinátora BOZP k vyzvání osob na staveništi ke splnění povinnosti podrobit se vyšetření přítomnosti alkoholu nebo jiné návykové látky. Kontrola musí být prováděna za přítomnosti svědka (např. stavbyvedoucího).</w:t>
      </w:r>
    </w:p>
    <w:p w:rsidR="002B5A60" w:rsidRDefault="002B5A60" w:rsidP="002B5A60">
      <w:pPr>
        <w:pStyle w:val="Zkladntext"/>
        <w:widowControl/>
        <w:numPr>
          <w:ilvl w:val="0"/>
          <w:numId w:val="1"/>
        </w:numPr>
        <w:autoSpaceDE w:val="0"/>
        <w:autoSpaceDN w:val="0"/>
        <w:snapToGrid/>
        <w:spacing w:beforeLines="40" w:before="96"/>
        <w:ind w:right="1274"/>
        <w:rPr>
          <w:rFonts w:eastAsia="Calibri" w:cs="Arial"/>
          <w:sz w:val="24"/>
          <w:szCs w:val="24"/>
          <w:lang w:eastAsia="en-US"/>
        </w:rPr>
      </w:pPr>
      <w:r>
        <w:rPr>
          <w:rFonts w:eastAsia="Calibri" w:cs="Arial"/>
          <w:sz w:val="24"/>
          <w:szCs w:val="24"/>
          <w:lang w:eastAsia="en-US"/>
        </w:rPr>
        <w:t xml:space="preserve">V případě, kdy zhotovitel, jeho poddodavatel nebo jiné fyzické osoby neplní požadavky zákona č. 309/2006 Sb., zákona o zajištění dalších podmínek bezpečnosti a ochrany zdraví při práci, zejména </w:t>
      </w:r>
      <w:proofErr w:type="spellStart"/>
      <w:r>
        <w:rPr>
          <w:rFonts w:eastAsia="Calibri" w:cs="Arial"/>
          <w:sz w:val="24"/>
          <w:szCs w:val="24"/>
          <w:lang w:eastAsia="en-US"/>
        </w:rPr>
        <w:t>ust</w:t>
      </w:r>
      <w:proofErr w:type="spellEnd"/>
      <w:r>
        <w:rPr>
          <w:rFonts w:eastAsia="Calibri" w:cs="Arial"/>
          <w:sz w:val="24"/>
          <w:szCs w:val="24"/>
          <w:lang w:eastAsia="en-US"/>
        </w:rPr>
        <w:t xml:space="preserve">. §§ 16, 17, a </w:t>
      </w:r>
      <w:proofErr w:type="gramStart"/>
      <w:r>
        <w:rPr>
          <w:rFonts w:eastAsia="Calibri" w:cs="Arial"/>
          <w:sz w:val="24"/>
          <w:szCs w:val="24"/>
          <w:lang w:eastAsia="en-US"/>
        </w:rPr>
        <w:t>to</w:t>
      </w:r>
      <w:proofErr w:type="gramEnd"/>
      <w:r>
        <w:rPr>
          <w:rFonts w:eastAsia="Calibri" w:cs="Arial"/>
          <w:sz w:val="24"/>
          <w:szCs w:val="24"/>
          <w:lang w:eastAsia="en-US"/>
        </w:rPr>
        <w:t xml:space="preserve"> pokud v dostatečném předstihu před zahájením stavebních prací písemně neinformují koordinátora o rizicích a o pracovních a technologických postupech, které pro realizaci stavby zvolil, o řešení rizik vznikajících při těchto postupech, včetně opatření přijatých k jejich odstranění, včas nepředávají informace a podklady pro zhotovení plánu, pověřuje investor koordinátora k pozastavení činnosti daného zhotovitele. O postupu bude informovat TDS. Toto pozastavení stavby není důvodem k prodloužení termínu ukončení stavebních prací.</w:t>
      </w:r>
    </w:p>
    <w:p w:rsidR="002B5A60" w:rsidRDefault="002B5A60" w:rsidP="002B5A60">
      <w:pPr>
        <w:widowControl w:val="0"/>
        <w:tabs>
          <w:tab w:val="left" w:pos="4536"/>
          <w:tab w:val="left" w:pos="7513"/>
        </w:tabs>
        <w:spacing w:line="240" w:lineRule="auto"/>
        <w:rPr>
          <w:rFonts w:ascii="Arial" w:eastAsia="Calibri" w:hAnsi="Arial" w:cs="Arial"/>
          <w:snapToGrid w:val="0"/>
          <w:sz w:val="24"/>
          <w:szCs w:val="24"/>
          <w:lang w:eastAsia="en-US"/>
        </w:rPr>
      </w:pPr>
    </w:p>
    <w:p w:rsidR="002B5A60" w:rsidRDefault="002B5A60" w:rsidP="002B5A60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pokuta nemá vliv na případný nárok na náhradu škody.</w:t>
      </w:r>
    </w:p>
    <w:p w:rsidR="002B5A60" w:rsidRDefault="002B5A60" w:rsidP="002B5A60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2B5A60" w:rsidRDefault="002B5A60" w:rsidP="002B5A60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2B5A60" w:rsidRDefault="002B5A60" w:rsidP="002B5A60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pokuty budou odstupňovány:</w:t>
      </w:r>
    </w:p>
    <w:p w:rsidR="002B5A60" w:rsidRDefault="002B5A60" w:rsidP="002B5A60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první provinění proti BOZP – upozornění a výstraha</w:t>
      </w:r>
    </w:p>
    <w:p w:rsidR="002B5A60" w:rsidRDefault="002B5A60" w:rsidP="002B5A60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provinění proti BOZP pokuta s výstrahou</w:t>
      </w:r>
    </w:p>
    <w:p w:rsidR="002B5A60" w:rsidRDefault="002B5A60" w:rsidP="002B5A60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druhé a další provinění – výše pokuty se násobí až na maximální výši pětinásobku základní částky + vykázání pracovníka-ů (firmy) ze staveniště.</w:t>
      </w:r>
    </w:p>
    <w:p w:rsidR="002B5A60" w:rsidRDefault="002B5A60" w:rsidP="002B5A60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2B5A60" w:rsidRDefault="002B5A60" w:rsidP="002B5A60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2B5A60" w:rsidRDefault="002B5A60" w:rsidP="002B5A60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2B5A60" w:rsidRDefault="002B5A60" w:rsidP="002B5A60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2B5A60" w:rsidRDefault="002B5A60" w:rsidP="002B5A60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2B5A60" w:rsidRDefault="002B5A60" w:rsidP="002B5A60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2B5A60" w:rsidRDefault="002B5A60" w:rsidP="002B5A60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2B5A60" w:rsidRDefault="002B5A60" w:rsidP="002B5A60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Tabulka maximálních orientačních pokut za porušení níže uvedených bodů, týkajících se prohřešků proti BOZP:</w:t>
      </w:r>
    </w:p>
    <w:p w:rsidR="002B5A60" w:rsidRDefault="002B5A60" w:rsidP="002B5A60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2"/>
        <w:gridCol w:w="1318"/>
      </w:tblGrid>
      <w:tr w:rsidR="002B5A60" w:rsidTr="002B5A60">
        <w:trPr>
          <w:trHeight w:val="602"/>
        </w:trPr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5A60" w:rsidRDefault="002B5A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SAZEBNÍK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POKUT - PROVINĚNÍ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PROTI BOZP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5A60" w:rsidRDefault="002B5A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POKUTA</w:t>
            </w:r>
          </w:p>
        </w:tc>
      </w:tr>
      <w:tr w:rsidR="002B5A60" w:rsidTr="002B5A60">
        <w:trPr>
          <w:trHeight w:val="725"/>
        </w:trPr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60" w:rsidRDefault="002B5A6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Včasné nedoložení informace o rizicích vznikajících při pracovních nebo technologických postupech, které zhotovitel zvolil, vyplývající z § 16, zákona č. 309/2006 Sb.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60" w:rsidRDefault="002B5A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3.000,-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2B5A60" w:rsidTr="002B5A60">
        <w:trPr>
          <w:trHeight w:val="725"/>
        </w:trPr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60" w:rsidRDefault="002B5A6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Zhotovitel neplní požadavky na zajištění staveniště stanovené v NV č. 591/2006 Sb.,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příloha  č.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1,  nebo v souladu s plánem BOZP.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60" w:rsidRDefault="002B5A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3.000,-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2B5A60" w:rsidTr="002B5A60"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60" w:rsidRDefault="002B5A6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Nepoužívání osobních ochranných prostředků vyplývajících z prováděné činnosti a stanovených v plánu BOZP. (Ochrany hlavy, pracovní obuv, ochrany očí, reflexní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vesty,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atd.) NV č. 390/2021 Sb.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60" w:rsidRDefault="002B5A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500,- Kč</w:t>
            </w:r>
          </w:p>
        </w:tc>
      </w:tr>
      <w:tr w:rsidR="002B5A60" w:rsidTr="002B5A60">
        <w:trPr>
          <w:trHeight w:val="725"/>
        </w:trPr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60" w:rsidRDefault="002B5A6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Nepoužívání prostředků kolektivní ochrany, nebo osobní ochrany pro zabránění pádu osob z výšky nebo do volné hloubky. (technické konstrukce, zábradlí, ohrazení, bezpečnostní postroj, kotvící body atd.). NV č. 362/2005 Sb.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60" w:rsidRDefault="002B5A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5.000,-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2B5A60" w:rsidTr="002B5A60">
        <w:trPr>
          <w:trHeight w:val="725"/>
        </w:trPr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60" w:rsidRDefault="002B5A6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Nezajištění nebezpečného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prostoru  pod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místem práce ve výšce. NV č. 362/2005 Sb.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60" w:rsidRDefault="002B5A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3.000,-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2B5A60" w:rsidTr="002B5A60">
        <w:trPr>
          <w:trHeight w:val="725"/>
        </w:trPr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60" w:rsidRDefault="002B5A6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Používání dočasné stavební konstrukce na staveništi bez náležitého předání odborně způsobilou osobou odpovědnou za montáž a převzetí do užívání osobou odpovědnou za její užívání. Používání lešení bez zábradlí,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okopových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lišt atd. NV č. 362/2005 Sb.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60" w:rsidRDefault="002B5A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5.000,-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Kč</w:t>
            </w:r>
          </w:p>
        </w:tc>
      </w:tr>
      <w:tr w:rsidR="002B5A60" w:rsidTr="002B5A60">
        <w:trPr>
          <w:trHeight w:val="725"/>
        </w:trPr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60" w:rsidRDefault="002B5A6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Používání nevyhovujících a poškozených žebříků na staveništi (odporující nařízení vlády č. 362/2005 Sb.)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60" w:rsidRDefault="002B5A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1.000,-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2B5A60" w:rsidTr="002B5A60">
        <w:trPr>
          <w:trHeight w:val="725"/>
        </w:trPr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60" w:rsidRDefault="002B5A6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Používání poškozených nebo nevyhovujících el. zařízení, prodlužování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kabelů,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atd. (poškozená izolace kabelů, sundaný bezpečnostní kryt přístroje, el. přístroj bez příslušné revize, atd.)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60" w:rsidRDefault="002B5A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2.000,-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2B5A60" w:rsidTr="002B5A60">
        <w:trPr>
          <w:trHeight w:val="725"/>
        </w:trPr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60" w:rsidRDefault="002B5A6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Dočasná elektrická zařízení na staveništi musí splňovat normové požadavky a musí být podrobena pravidelným kontrolám a revizím ve stanovených intervalech. NV č. 591/2006 Sb. příloha č. 1.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60" w:rsidRDefault="002B5A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3.000,-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2B5A60" w:rsidTr="002B5A60">
        <w:trPr>
          <w:trHeight w:val="725"/>
        </w:trPr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60" w:rsidRDefault="002B5A6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Neprovádění nebo nepoužívání prostředků pro zajištění okrajů výkopů proti pádu fyzických osob do hloubky (překrytí, zábradlí, zábrany, ohrazení atd.) NV č. 591/2006 Sb. příloha č. 3.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60" w:rsidRDefault="002B5A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3.000,-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2B5A60" w:rsidTr="002B5A60">
        <w:trPr>
          <w:trHeight w:val="725"/>
        </w:trPr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60" w:rsidRDefault="002B5A6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Nezřízení bezpečných přechodů přes výkopy v návaznosti na hloubku výkopu. </w:t>
            </w:r>
          </w:p>
          <w:p w:rsidR="002B5A60" w:rsidRDefault="002B5A6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(bez zábradlí, lišty pro slepce, nedostatečně široké atd.). NV č. 591/2006 Sb. příloha č. 3.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60" w:rsidRDefault="002B5A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2.000,-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Kč</w:t>
            </w:r>
          </w:p>
        </w:tc>
      </w:tr>
      <w:tr w:rsidR="002B5A60" w:rsidTr="002B5A60">
        <w:trPr>
          <w:trHeight w:val="725"/>
        </w:trPr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60" w:rsidRDefault="002B5A6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Neprovádění zajištění stability stěn výkopu proti sesutí u ručního i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strojně  hloubeného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výkopu.  (pažení, ochranné rámy, rozpěrné konstrukce atd.)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60" w:rsidRDefault="002B5A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5.000,-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Kč</w:t>
            </w:r>
          </w:p>
        </w:tc>
      </w:tr>
      <w:tr w:rsidR="002B5A60" w:rsidTr="002B5A60">
        <w:trPr>
          <w:trHeight w:val="725"/>
        </w:trPr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60" w:rsidRDefault="002B5A6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Pohyb pracovníků v prostoru ohroženém činností stroje,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vymezeném  maximálním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dosahem jeho pracovního zařízení, zvětšeném o 2m. NV č. 591/2006 Sb. příloha č. 2.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60" w:rsidRDefault="002B5A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500,- Kč</w:t>
            </w:r>
          </w:p>
        </w:tc>
      </w:tr>
      <w:tr w:rsidR="002B5A60" w:rsidTr="002B5A60">
        <w:trPr>
          <w:trHeight w:val="725"/>
        </w:trPr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60" w:rsidRDefault="002B5A6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Používání k výstupu konstrukce, které k tomu nejsou určeny (bednění,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pažení,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atd.)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60" w:rsidRDefault="002B5A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1.000,-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Kč</w:t>
            </w:r>
          </w:p>
        </w:tc>
      </w:tr>
      <w:tr w:rsidR="002B5A60" w:rsidTr="002B5A60">
        <w:trPr>
          <w:trHeight w:val="725"/>
        </w:trPr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60" w:rsidRDefault="002B5A6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Používání k dopravě osob zařízení nebo části, které k tomu nejsou určeny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60" w:rsidRDefault="002B5A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1.000,-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2B5A60" w:rsidTr="002B5A60">
        <w:trPr>
          <w:trHeight w:val="725"/>
        </w:trPr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60" w:rsidRDefault="002B5A6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Vázání břemene bez potřebné kvalifikace (vazačský, jeřábnický průkaz). Používání poškozených vázacích prostředků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60" w:rsidRDefault="002B5A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2.000,-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2B5A60" w:rsidTr="002B5A60">
        <w:trPr>
          <w:trHeight w:val="725"/>
        </w:trPr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60" w:rsidRDefault="002B5A6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Zjištění požití alkoholického nápoje nebo toxické látky v těle pracovníka Okamžité opuštění staveniště a pokuta.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60" w:rsidRDefault="002B5A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5.000,-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2B5A60" w:rsidTr="002B5A60">
        <w:trPr>
          <w:trHeight w:val="725"/>
        </w:trPr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60" w:rsidRDefault="002B5A6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Porušení zákazu kouření (kromě vyhrazených prostor)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60" w:rsidRDefault="002B5A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500,- Kč</w:t>
            </w:r>
          </w:p>
        </w:tc>
      </w:tr>
      <w:tr w:rsidR="002B5A60" w:rsidTr="002B5A60">
        <w:trPr>
          <w:trHeight w:val="725"/>
        </w:trPr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60" w:rsidRDefault="002B5A6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Jiné opakující se porušení pravidel BOZP podle závažnosti.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60" w:rsidRDefault="002B5A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-  až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5.000,-  Kč</w:t>
            </w:r>
          </w:p>
        </w:tc>
      </w:tr>
    </w:tbl>
    <w:p w:rsidR="002B5A60" w:rsidRDefault="002B5A60" w:rsidP="002B5A60">
      <w:pPr>
        <w:rPr>
          <w:rFonts w:ascii="Arial" w:hAnsi="Arial" w:cs="Arial"/>
          <w:sz w:val="24"/>
          <w:szCs w:val="24"/>
        </w:rPr>
      </w:pPr>
    </w:p>
    <w:p w:rsidR="002B5A60" w:rsidRDefault="002B5A60" w:rsidP="002B5A60"/>
    <w:p w:rsidR="006D6EFA" w:rsidRDefault="006D6EFA"/>
    <w:sectPr w:rsidR="006D6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30A57"/>
    <w:multiLevelType w:val="hybridMultilevel"/>
    <w:tmpl w:val="84AE6622"/>
    <w:lvl w:ilvl="0" w:tplc="957C2D98">
      <w:start w:val="10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97780613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60"/>
    <w:rsid w:val="002B5A60"/>
    <w:rsid w:val="006D6EFA"/>
    <w:rsid w:val="00B578E4"/>
    <w:rsid w:val="00C2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95638-9264-4B4E-8502-D5BA6DA1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5A60"/>
    <w:pPr>
      <w:spacing w:after="0" w:line="260" w:lineRule="exact"/>
    </w:pPr>
    <w:rPr>
      <w:rFonts w:ascii="Trebuchet MS" w:eastAsia="Times New Roman" w:hAnsi="Trebuchet MS" w:cs="Times New Roman"/>
      <w:kern w:val="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2B5A60"/>
    <w:pPr>
      <w:widowControl w:val="0"/>
      <w:snapToGrid w:val="0"/>
      <w:spacing w:line="240" w:lineRule="auto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2B5A60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0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Vankat</dc:creator>
  <cp:keywords/>
  <dc:description/>
  <cp:lastModifiedBy>Jaroslav Vankat</cp:lastModifiedBy>
  <cp:revision>2</cp:revision>
  <dcterms:created xsi:type="dcterms:W3CDTF">2023-08-18T09:35:00Z</dcterms:created>
  <dcterms:modified xsi:type="dcterms:W3CDTF">2023-08-18T09:36:00Z</dcterms:modified>
</cp:coreProperties>
</file>